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A6B54">
      <w:pPr>
        <w:rPr>
          <w:rFonts w:hint="eastAsia" w:ascii="宋体" w:hAnsi="宋体" w:eastAsia="宋体" w:cs="宋体"/>
          <w:color w:val="auto"/>
          <w:sz w:val="32"/>
          <w:szCs w:val="32"/>
          <w:highlight w:val="none"/>
        </w:rPr>
      </w:pPr>
      <w:r>
        <w:rPr>
          <w:rFonts w:hint="eastAsia" w:ascii="宋体" w:hAnsi="宋体" w:eastAsia="宋体" w:cs="宋体"/>
          <w:color w:val="auto"/>
          <w:highlight w:val="none"/>
        </w:rPr>
        <w:drawing>
          <wp:inline distT="0" distB="0" distL="114300" distR="114300">
            <wp:extent cx="2298700" cy="481330"/>
            <wp:effectExtent l="0" t="0" r="6350" b="13970"/>
            <wp:docPr id="1" name="图片 1" descr="长沙水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长沙水业logo"/>
                    <pic:cNvPicPr>
                      <a:picLocks noChangeAspect="1"/>
                    </pic:cNvPicPr>
                  </pic:nvPicPr>
                  <pic:blipFill>
                    <a:blip r:embed="rId9"/>
                    <a:stretch>
                      <a:fillRect/>
                    </a:stretch>
                  </pic:blipFill>
                  <pic:spPr>
                    <a:xfrm>
                      <a:off x="0" y="0"/>
                      <a:ext cx="2298700" cy="481330"/>
                    </a:xfrm>
                    <a:prstGeom prst="rect">
                      <a:avLst/>
                    </a:prstGeom>
                    <a:noFill/>
                    <a:ln>
                      <a:noFill/>
                    </a:ln>
                  </pic:spPr>
                </pic:pic>
              </a:graphicData>
            </a:graphic>
          </wp:inline>
        </w:drawing>
      </w:r>
    </w:p>
    <w:p w14:paraId="1BA1D8C9">
      <w:pPr>
        <w:rPr>
          <w:rFonts w:hint="eastAsia" w:ascii="宋体" w:hAnsi="宋体" w:eastAsia="宋体" w:cs="宋体"/>
          <w:color w:val="auto"/>
          <w:sz w:val="32"/>
          <w:szCs w:val="32"/>
          <w:highlight w:val="none"/>
        </w:rPr>
      </w:pPr>
    </w:p>
    <w:p w14:paraId="19B12261">
      <w:pPr>
        <w:rPr>
          <w:rFonts w:hint="eastAsia" w:ascii="宋体" w:hAnsi="宋体" w:eastAsia="宋体" w:cs="宋体"/>
          <w:color w:val="auto"/>
          <w:sz w:val="32"/>
          <w:szCs w:val="32"/>
          <w:highlight w:val="none"/>
        </w:rPr>
      </w:pPr>
    </w:p>
    <w:p w14:paraId="2568B48E">
      <w:pPr>
        <w:rPr>
          <w:rFonts w:hint="eastAsia" w:ascii="宋体" w:hAnsi="宋体" w:eastAsia="宋体" w:cs="宋体"/>
          <w:color w:val="auto"/>
          <w:sz w:val="32"/>
          <w:szCs w:val="32"/>
          <w:highlight w:val="none"/>
        </w:rPr>
      </w:pPr>
    </w:p>
    <w:p w14:paraId="4B5EC4C1">
      <w:pPr>
        <w:pStyle w:val="22"/>
        <w:adjustRightInd w:val="0"/>
        <w:snapToGrid w:val="0"/>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标准</w:t>
      </w:r>
      <w:r>
        <w:rPr>
          <w:rFonts w:hint="eastAsia" w:ascii="宋体" w:hAnsi="宋体" w:eastAsia="宋体" w:cs="宋体"/>
          <w:b/>
          <w:color w:val="auto"/>
          <w:sz w:val="84"/>
          <w:szCs w:val="84"/>
          <w:highlight w:val="none"/>
          <w:lang w:eastAsia="zh-CN"/>
        </w:rPr>
        <w:t>磋商</w:t>
      </w:r>
      <w:r>
        <w:rPr>
          <w:rFonts w:hint="eastAsia" w:ascii="宋体" w:hAnsi="宋体" w:eastAsia="宋体" w:cs="宋体"/>
          <w:b/>
          <w:color w:val="auto"/>
          <w:sz w:val="84"/>
          <w:szCs w:val="84"/>
          <w:highlight w:val="none"/>
        </w:rPr>
        <w:t>文件</w:t>
      </w:r>
    </w:p>
    <w:p w14:paraId="49ACE963">
      <w:pPr>
        <w:pStyle w:val="22"/>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40"/>
          <w:szCs w:val="40"/>
          <w:highlight w:val="none"/>
        </w:rPr>
        <w:t>（</w:t>
      </w:r>
      <w:r>
        <w:rPr>
          <w:rFonts w:hint="eastAsia" w:hAnsi="宋体" w:cs="宋体"/>
          <w:b/>
          <w:color w:val="auto"/>
          <w:sz w:val="40"/>
          <w:szCs w:val="40"/>
          <w:highlight w:val="none"/>
          <w:lang w:val="en-US" w:eastAsia="zh-CN"/>
        </w:rPr>
        <w:t>服务</w:t>
      </w:r>
      <w:r>
        <w:rPr>
          <w:rFonts w:hint="eastAsia" w:ascii="宋体" w:hAnsi="宋体" w:eastAsia="宋体" w:cs="宋体"/>
          <w:b/>
          <w:color w:val="auto"/>
          <w:sz w:val="40"/>
          <w:szCs w:val="40"/>
          <w:highlight w:val="none"/>
        </w:rPr>
        <w:t>类）</w:t>
      </w:r>
    </w:p>
    <w:p w14:paraId="72E263CE">
      <w:pPr>
        <w:pStyle w:val="22"/>
        <w:adjustRightInd w:val="0"/>
        <w:snapToGrid w:val="0"/>
        <w:spacing w:before="156" w:beforeLines="50" w:line="360" w:lineRule="auto"/>
        <w:ind w:left="846" w:leftChars="403" w:firstLine="157" w:firstLineChars="49"/>
        <w:rPr>
          <w:rFonts w:hint="eastAsia" w:ascii="宋体" w:hAnsi="宋体" w:eastAsia="宋体" w:cs="宋体"/>
          <w:b/>
          <w:color w:val="auto"/>
          <w:sz w:val="32"/>
          <w:szCs w:val="32"/>
          <w:highlight w:val="none"/>
        </w:rPr>
      </w:pPr>
    </w:p>
    <w:p w14:paraId="2A567CD4">
      <w:pPr>
        <w:pStyle w:val="22"/>
        <w:adjustRightInd w:val="0"/>
        <w:snapToGrid w:val="0"/>
        <w:spacing w:line="360" w:lineRule="auto"/>
        <w:ind w:left="3244" w:leftChars="478" w:right="23" w:rightChars="11" w:hanging="2240" w:hangingChars="700"/>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采购项目名称：</w:t>
      </w:r>
      <w:r>
        <w:rPr>
          <w:rFonts w:hint="eastAsia" w:hAnsi="宋体" w:cs="宋体"/>
          <w:color w:val="auto"/>
          <w:sz w:val="32"/>
          <w:szCs w:val="32"/>
          <w:highlight w:val="none"/>
          <w:u w:val="single"/>
          <w:lang w:val="en-US" w:eastAsia="zh-CN"/>
        </w:rPr>
        <w:t>长沙市排水有限责任公司2026年进出水在线仪表运营维护服务项目</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7FD96DC6">
      <w:pPr>
        <w:pStyle w:val="22"/>
        <w:adjustRightInd w:val="0"/>
        <w:snapToGrid w:val="0"/>
        <w:spacing w:line="360" w:lineRule="auto"/>
        <w:ind w:left="846" w:leftChars="403" w:right="23" w:rightChars="11" w:firstLine="156" w:firstLineChars="4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hAnsi="宋体" w:cs="宋体"/>
          <w:color w:val="auto"/>
          <w:sz w:val="32"/>
          <w:szCs w:val="32"/>
          <w:highlight w:val="none"/>
          <w:u w:val="single"/>
          <w:lang w:eastAsia="zh-CN"/>
        </w:rPr>
        <w:t>长沙市排水有限责任公司</w:t>
      </w:r>
      <w:r>
        <w:rPr>
          <w:rFonts w:hint="eastAsia" w:ascii="宋体" w:hAnsi="宋体" w:eastAsia="宋体" w:cs="宋体"/>
          <w:color w:val="auto"/>
          <w:sz w:val="32"/>
          <w:szCs w:val="32"/>
          <w:highlight w:val="none"/>
          <w:u w:val="single"/>
        </w:rPr>
        <w:t xml:space="preserve">             </w:t>
      </w:r>
    </w:p>
    <w:p w14:paraId="73F01E87">
      <w:pPr>
        <w:pStyle w:val="22"/>
        <w:adjustRightInd w:val="0"/>
        <w:snapToGrid w:val="0"/>
        <w:spacing w:line="360" w:lineRule="auto"/>
        <w:ind w:right="23" w:rightChars="11" w:firstLine="944" w:firstLineChars="29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采购项目编号: </w:t>
      </w:r>
      <w:r>
        <w:rPr>
          <w:rFonts w:hint="eastAsia" w:ascii="宋体" w:hAnsi="宋体" w:eastAsia="宋体" w:cs="宋体"/>
          <w:color w:val="auto"/>
          <w:sz w:val="32"/>
          <w:szCs w:val="32"/>
          <w:highlight w:val="none"/>
          <w:u w:val="single"/>
          <w:lang w:val="en-US" w:eastAsia="zh-CN"/>
        </w:rPr>
        <w:t xml:space="preserve"> CSPS-2025-CS-05</w:t>
      </w:r>
    </w:p>
    <w:p w14:paraId="67EA3422">
      <w:pPr>
        <w:pStyle w:val="22"/>
        <w:adjustRightInd w:val="0"/>
        <w:snapToGrid w:val="0"/>
        <w:spacing w:line="360" w:lineRule="auto"/>
        <w:ind w:right="23" w:rightChars="11" w:firstLine="944" w:firstLineChars="29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采购代理机构: </w:t>
      </w:r>
      <w:r>
        <w:rPr>
          <w:rFonts w:hint="eastAsia" w:hAnsi="宋体" w:cs="宋体"/>
          <w:color w:val="auto"/>
          <w:sz w:val="32"/>
          <w:szCs w:val="32"/>
          <w:highlight w:val="none"/>
          <w:u w:val="single"/>
          <w:lang w:eastAsia="zh-CN"/>
        </w:rPr>
        <w:t>天鉴国际工程管理有限公司</w:t>
      </w:r>
      <w:r>
        <w:rPr>
          <w:rFonts w:hint="eastAsia" w:ascii="宋体" w:hAnsi="宋体" w:eastAsia="宋体" w:cs="宋体"/>
          <w:color w:val="auto"/>
          <w:sz w:val="32"/>
          <w:szCs w:val="32"/>
          <w:highlight w:val="none"/>
          <w:u w:val="single"/>
        </w:rPr>
        <w:t xml:space="preserve">   </w:t>
      </w:r>
      <w:r>
        <w:rPr>
          <w:rFonts w:hint="eastAsia"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33530C8F">
      <w:pPr>
        <w:pStyle w:val="22"/>
        <w:adjustRightInd w:val="0"/>
        <w:snapToGrid w:val="0"/>
        <w:spacing w:before="156" w:beforeLines="50" w:line="360" w:lineRule="auto"/>
        <w:ind w:firstLine="948" w:firstLineChars="295"/>
        <w:rPr>
          <w:rFonts w:hint="eastAsia" w:ascii="宋体" w:hAnsi="宋体" w:eastAsia="宋体" w:cs="宋体"/>
          <w:b/>
          <w:color w:val="auto"/>
          <w:sz w:val="32"/>
          <w:szCs w:val="32"/>
          <w:highlight w:val="none"/>
        </w:rPr>
      </w:pPr>
    </w:p>
    <w:p w14:paraId="48B1E15C">
      <w:pPr>
        <w:pStyle w:val="22"/>
        <w:adjustRightInd w:val="0"/>
        <w:snapToGrid w:val="0"/>
        <w:spacing w:line="360" w:lineRule="auto"/>
        <w:jc w:val="center"/>
        <w:rPr>
          <w:rFonts w:hint="eastAsia" w:ascii="宋体" w:hAnsi="宋体" w:eastAsia="宋体" w:cs="宋体"/>
          <w:b/>
          <w:color w:val="auto"/>
          <w:sz w:val="32"/>
          <w:highlight w:val="none"/>
        </w:rPr>
      </w:pPr>
    </w:p>
    <w:p w14:paraId="36A1C749">
      <w:pPr>
        <w:pStyle w:val="22"/>
        <w:adjustRightInd w:val="0"/>
        <w:snapToGrid w:val="0"/>
        <w:spacing w:line="360" w:lineRule="auto"/>
        <w:ind w:right="23" w:rightChars="11"/>
        <w:jc w:val="center"/>
        <w:rPr>
          <w:rFonts w:hint="eastAsia" w:ascii="宋体" w:hAnsi="宋体" w:eastAsia="宋体" w:cs="宋体"/>
          <w:b/>
          <w:color w:val="auto"/>
          <w:sz w:val="32"/>
          <w:highlight w:val="none"/>
        </w:rPr>
      </w:pPr>
    </w:p>
    <w:p w14:paraId="61330C96">
      <w:pPr>
        <w:pStyle w:val="22"/>
        <w:adjustRightInd w:val="0"/>
        <w:snapToGrid w:val="0"/>
        <w:spacing w:line="360" w:lineRule="auto"/>
        <w:ind w:right="23" w:rightChars="11"/>
        <w:jc w:val="center"/>
        <w:rPr>
          <w:rFonts w:hint="eastAsia" w:ascii="宋体" w:hAnsi="宋体" w:eastAsia="宋体" w:cs="宋体"/>
          <w:b/>
          <w:color w:val="auto"/>
          <w:sz w:val="32"/>
          <w:highlight w:val="none"/>
        </w:rPr>
      </w:pPr>
    </w:p>
    <w:p w14:paraId="42163C24">
      <w:pPr>
        <w:pStyle w:val="22"/>
        <w:adjustRightInd w:val="0"/>
        <w:snapToGrid w:val="0"/>
        <w:spacing w:line="360" w:lineRule="auto"/>
        <w:ind w:right="23" w:rightChars="11"/>
        <w:jc w:val="center"/>
        <w:rPr>
          <w:rFonts w:hint="eastAsia" w:ascii="宋体" w:hAnsi="宋体" w:eastAsia="宋体" w:cs="宋体"/>
          <w:b/>
          <w:color w:val="auto"/>
          <w:sz w:val="32"/>
          <w:highlight w:val="none"/>
        </w:rPr>
      </w:pPr>
    </w:p>
    <w:p w14:paraId="78D549CA">
      <w:pPr>
        <w:pStyle w:val="22"/>
        <w:adjustRightInd w:val="0"/>
        <w:snapToGrid w:val="0"/>
        <w:spacing w:line="360" w:lineRule="auto"/>
        <w:ind w:right="23" w:rightChars="11"/>
        <w:jc w:val="both"/>
        <w:rPr>
          <w:rFonts w:hint="eastAsia" w:ascii="宋体" w:hAnsi="宋体" w:eastAsia="宋体" w:cs="宋体"/>
          <w:b/>
          <w:color w:val="auto"/>
          <w:sz w:val="32"/>
          <w:highlight w:val="none"/>
        </w:rPr>
      </w:pPr>
    </w:p>
    <w:p w14:paraId="03983A85">
      <w:pPr>
        <w:pStyle w:val="22"/>
        <w:adjustRightInd w:val="0"/>
        <w:snapToGrid w:val="0"/>
        <w:spacing w:line="360" w:lineRule="auto"/>
        <w:ind w:right="23" w:rightChars="11"/>
        <w:jc w:val="center"/>
        <w:rPr>
          <w:rFonts w:hint="eastAsia" w:ascii="宋体" w:hAnsi="宋体" w:eastAsia="宋体" w:cs="宋体"/>
          <w:b/>
          <w:color w:val="auto"/>
          <w:sz w:val="32"/>
          <w:highlight w:val="none"/>
        </w:rPr>
      </w:pPr>
      <w:r>
        <w:rPr>
          <w:rFonts w:hint="eastAsia" w:hAnsi="宋体" w:cs="宋体"/>
          <w:b/>
          <w:color w:val="auto"/>
          <w:sz w:val="32"/>
          <w:highlight w:val="none"/>
          <w:u w:val="single"/>
          <w:lang w:val="en-US" w:eastAsia="zh-CN"/>
        </w:rPr>
        <w:t>2025</w:t>
      </w:r>
      <w:r>
        <w:rPr>
          <w:rFonts w:hint="eastAsia" w:ascii="宋体" w:hAnsi="宋体" w:eastAsia="宋体" w:cs="宋体"/>
          <w:b/>
          <w:color w:val="auto"/>
          <w:sz w:val="32"/>
          <w:highlight w:val="none"/>
        </w:rPr>
        <w:t>年</w:t>
      </w:r>
      <w:r>
        <w:rPr>
          <w:rFonts w:hint="eastAsia" w:hAnsi="宋体" w:cs="宋体"/>
          <w:b/>
          <w:color w:val="auto"/>
          <w:sz w:val="32"/>
          <w:highlight w:val="none"/>
          <w:u w:val="single"/>
          <w:lang w:val="en-US" w:eastAsia="zh-CN"/>
        </w:rPr>
        <w:t>11</w:t>
      </w:r>
      <w:r>
        <w:rPr>
          <w:rFonts w:hint="eastAsia" w:ascii="宋体" w:hAnsi="宋体" w:eastAsia="宋体" w:cs="宋体"/>
          <w:b/>
          <w:color w:val="auto"/>
          <w:sz w:val="32"/>
          <w:highlight w:val="none"/>
        </w:rPr>
        <w:t>月</w:t>
      </w:r>
    </w:p>
    <w:p w14:paraId="628DB3D5">
      <w:pPr>
        <w:widowControl/>
        <w:spacing w:line="360" w:lineRule="auto"/>
        <w:jc w:val="left"/>
        <w:rPr>
          <w:rFonts w:hint="eastAsia" w:ascii="宋体" w:hAnsi="宋体" w:eastAsia="宋体" w:cs="宋体"/>
          <w:color w:val="auto"/>
          <w:spacing w:val="160"/>
          <w:sz w:val="36"/>
          <w:szCs w:val="36"/>
          <w:highlight w:val="none"/>
        </w:rPr>
        <w:sectPr>
          <w:pgSz w:w="11906" w:h="16838"/>
          <w:pgMar w:top="1134" w:right="1417" w:bottom="1134" w:left="1417" w:header="720" w:footer="720"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03673B41">
      <w:pPr>
        <w:pStyle w:val="22"/>
        <w:adjustRightInd w:val="0"/>
        <w:snapToGrid w:val="0"/>
        <w:spacing w:line="360" w:lineRule="auto"/>
        <w:jc w:val="center"/>
        <w:rPr>
          <w:rFonts w:hint="eastAsia" w:ascii="宋体" w:hAnsi="宋体" w:eastAsia="宋体" w:cs="宋体"/>
          <w:b/>
          <w:bCs/>
          <w:color w:val="auto"/>
          <w:spacing w:val="160"/>
          <w:sz w:val="44"/>
          <w:szCs w:val="44"/>
          <w:highlight w:val="none"/>
        </w:rPr>
      </w:pPr>
      <w:r>
        <w:rPr>
          <w:rFonts w:hint="eastAsia" w:ascii="宋体" w:hAnsi="宋体" w:eastAsia="宋体" w:cs="宋体"/>
          <w:b/>
          <w:bCs/>
          <w:color w:val="auto"/>
          <w:spacing w:val="160"/>
          <w:sz w:val="44"/>
          <w:szCs w:val="44"/>
          <w:highlight w:val="none"/>
        </w:rPr>
        <w:t>目录</w:t>
      </w:r>
    </w:p>
    <w:p w14:paraId="5F33AB33">
      <w:pPr>
        <w:pStyle w:val="30"/>
        <w:tabs>
          <w:tab w:val="right" w:leader="dot" w:pos="8844"/>
        </w:tabs>
        <w:spacing w:line="480" w:lineRule="auto"/>
        <w:rPr>
          <w:rFonts w:hint="eastAsia" w:ascii="宋体" w:hAnsi="宋体" w:eastAsia="宋体" w:cs="宋体"/>
          <w:color w:val="auto"/>
          <w:sz w:val="32"/>
          <w:szCs w:val="32"/>
          <w:highlight w:val="none"/>
        </w:rPr>
      </w:pPr>
      <w:r>
        <w:rPr>
          <w:rFonts w:hint="eastAsia" w:ascii="宋体" w:hAnsi="宋体" w:eastAsia="宋体" w:cs="宋体"/>
          <w:color w:val="auto"/>
          <w:spacing w:val="160"/>
          <w:sz w:val="32"/>
          <w:szCs w:val="32"/>
          <w:highlight w:val="none"/>
        </w:rPr>
        <w:fldChar w:fldCharType="begin"/>
      </w:r>
      <w:r>
        <w:rPr>
          <w:rFonts w:hint="eastAsia" w:ascii="宋体" w:hAnsi="宋体" w:eastAsia="宋体" w:cs="宋体"/>
          <w:color w:val="auto"/>
          <w:spacing w:val="160"/>
          <w:sz w:val="32"/>
          <w:szCs w:val="32"/>
          <w:highlight w:val="none"/>
        </w:rPr>
        <w:instrText xml:space="preserve">TOC \o "1-2" \h \u </w:instrText>
      </w:r>
      <w:r>
        <w:rPr>
          <w:rFonts w:hint="eastAsia" w:ascii="宋体" w:hAnsi="宋体" w:eastAsia="宋体" w:cs="宋体"/>
          <w:color w:val="auto"/>
          <w:spacing w:val="160"/>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"file:///C:\\Users\\Administrator.JX-20170906OSIR\\Desktop\\长沙水业集团有限公司招标代理机构入库项目.doc" \l "_Toc12157" </w:instrText>
      </w:r>
      <w:r>
        <w:rPr>
          <w:rFonts w:hint="eastAsia" w:ascii="宋体" w:hAnsi="宋体" w:eastAsia="宋体" w:cs="宋体"/>
          <w:color w:val="auto"/>
          <w:sz w:val="32"/>
          <w:szCs w:val="32"/>
          <w:highlight w:val="none"/>
        </w:rPr>
        <w:fldChar w:fldCharType="separate"/>
      </w:r>
      <w:r>
        <w:rPr>
          <w:rStyle w:val="54"/>
          <w:rFonts w:hint="eastAsia" w:ascii="宋体" w:hAnsi="宋体" w:eastAsia="宋体" w:cs="宋体"/>
          <w:color w:val="auto"/>
          <w:sz w:val="32"/>
          <w:szCs w:val="32"/>
          <w:highlight w:val="none"/>
        </w:rPr>
        <w:t>第一章  磋商公告</w:t>
      </w:r>
      <w:r>
        <w:rPr>
          <w:rStyle w:val="54"/>
          <w:rFonts w:hint="eastAsia" w:ascii="宋体" w:hAnsi="宋体" w:eastAsia="宋体" w:cs="宋体"/>
          <w:color w:val="auto"/>
          <w:sz w:val="32"/>
          <w:szCs w:val="32"/>
          <w:highlight w:val="none"/>
        </w:rPr>
        <w:tab/>
      </w:r>
      <w:r>
        <w:rPr>
          <w:rStyle w:val="54"/>
          <w:rFonts w:hint="eastAsia" w:ascii="宋体" w:hAnsi="宋体" w:eastAsia="宋体" w:cs="宋体"/>
          <w:color w:val="auto"/>
          <w:sz w:val="32"/>
          <w:szCs w:val="32"/>
          <w:highlight w:val="none"/>
        </w:rPr>
        <w:fldChar w:fldCharType="begin"/>
      </w:r>
      <w:r>
        <w:rPr>
          <w:rStyle w:val="54"/>
          <w:rFonts w:hint="eastAsia" w:ascii="宋体" w:hAnsi="宋体" w:eastAsia="宋体" w:cs="宋体"/>
          <w:color w:val="auto"/>
          <w:sz w:val="32"/>
          <w:szCs w:val="32"/>
          <w:highlight w:val="none"/>
        </w:rPr>
        <w:instrText xml:space="preserve"> PAGEREF _Toc12157 </w:instrText>
      </w:r>
      <w:r>
        <w:rPr>
          <w:rStyle w:val="54"/>
          <w:rFonts w:hint="eastAsia" w:ascii="宋体" w:hAnsi="宋体" w:eastAsia="宋体" w:cs="宋体"/>
          <w:color w:val="auto"/>
          <w:sz w:val="32"/>
          <w:szCs w:val="32"/>
          <w:highlight w:val="none"/>
        </w:rPr>
        <w:fldChar w:fldCharType="separate"/>
      </w:r>
      <w:r>
        <w:rPr>
          <w:rStyle w:val="54"/>
          <w:rFonts w:hint="eastAsia" w:ascii="宋体" w:hAnsi="宋体" w:eastAsia="宋体" w:cs="宋体"/>
          <w:color w:val="auto"/>
          <w:sz w:val="32"/>
          <w:szCs w:val="32"/>
          <w:highlight w:val="none"/>
        </w:rPr>
        <w:t>- 2 -</w:t>
      </w:r>
      <w:r>
        <w:rPr>
          <w:rStyle w:val="54"/>
          <w:rFonts w:hint="eastAsia" w:ascii="宋体" w:hAnsi="宋体" w:eastAsia="宋体" w:cs="宋体"/>
          <w:color w:val="auto"/>
          <w:sz w:val="32"/>
          <w:szCs w:val="32"/>
          <w:highlight w:val="none"/>
        </w:rPr>
        <w:fldChar w:fldCharType="end"/>
      </w:r>
      <w:r>
        <w:rPr>
          <w:rStyle w:val="54"/>
          <w:rFonts w:hint="eastAsia" w:ascii="宋体" w:hAnsi="宋体" w:eastAsia="宋体" w:cs="宋体"/>
          <w:color w:val="auto"/>
          <w:sz w:val="32"/>
          <w:szCs w:val="32"/>
          <w:highlight w:val="none"/>
        </w:rPr>
        <w:fldChar w:fldCharType="end"/>
      </w:r>
    </w:p>
    <w:p w14:paraId="2780F3A2">
      <w:pPr>
        <w:pStyle w:val="30"/>
        <w:tabs>
          <w:tab w:val="right" w:leader="dot" w:pos="8844"/>
        </w:tabs>
        <w:spacing w:line="48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"file:///C:\\Users\\Administrator.JX-20170906OSIR\\Desktop\\长沙水业集团有限公司招标代理机构入库项目.doc" \l "_Toc28500" </w:instrText>
      </w:r>
      <w:r>
        <w:rPr>
          <w:rFonts w:hint="eastAsia" w:ascii="宋体" w:hAnsi="宋体" w:eastAsia="宋体" w:cs="宋体"/>
          <w:color w:val="auto"/>
          <w:sz w:val="32"/>
          <w:szCs w:val="32"/>
          <w:highlight w:val="none"/>
        </w:rPr>
        <w:fldChar w:fldCharType="separate"/>
      </w:r>
      <w:r>
        <w:rPr>
          <w:rStyle w:val="54"/>
          <w:rFonts w:hint="eastAsia" w:ascii="宋体" w:hAnsi="宋体" w:eastAsia="宋体" w:cs="宋体"/>
          <w:color w:val="auto"/>
          <w:sz w:val="32"/>
          <w:szCs w:val="32"/>
          <w:highlight w:val="none"/>
        </w:rPr>
        <w:t>第二章</w:t>
      </w:r>
      <w:r>
        <w:rPr>
          <w:rStyle w:val="54"/>
          <w:rFonts w:hint="eastAsia" w:ascii="宋体" w:hAnsi="宋体" w:eastAsia="宋体" w:cs="宋体"/>
          <w:color w:val="auto"/>
          <w:sz w:val="32"/>
          <w:szCs w:val="32"/>
          <w:highlight w:val="none"/>
          <w:lang w:val="en-US" w:eastAsia="zh-CN"/>
        </w:rPr>
        <w:t xml:space="preserve">  </w:t>
      </w:r>
      <w:r>
        <w:rPr>
          <w:rStyle w:val="54"/>
          <w:rFonts w:hint="eastAsia" w:ascii="宋体" w:hAnsi="宋体" w:eastAsia="宋体" w:cs="宋体"/>
          <w:color w:val="auto"/>
          <w:sz w:val="32"/>
          <w:szCs w:val="32"/>
          <w:highlight w:val="none"/>
        </w:rPr>
        <w:t>磋商须知</w:t>
      </w:r>
      <w:r>
        <w:rPr>
          <w:rStyle w:val="54"/>
          <w:rFonts w:hint="eastAsia" w:ascii="宋体" w:hAnsi="宋体" w:eastAsia="宋体" w:cs="宋体"/>
          <w:color w:val="auto"/>
          <w:sz w:val="32"/>
          <w:szCs w:val="32"/>
          <w:highlight w:val="none"/>
        </w:rPr>
        <w:tab/>
      </w:r>
      <w:r>
        <w:rPr>
          <w:rStyle w:val="54"/>
          <w:rFonts w:hint="eastAsia" w:ascii="宋体" w:hAnsi="宋体" w:eastAsia="宋体" w:cs="宋体"/>
          <w:color w:val="auto"/>
          <w:sz w:val="32"/>
          <w:szCs w:val="32"/>
          <w:highlight w:val="none"/>
        </w:rPr>
        <w:fldChar w:fldCharType="begin"/>
      </w:r>
      <w:r>
        <w:rPr>
          <w:rStyle w:val="54"/>
          <w:rFonts w:hint="eastAsia" w:ascii="宋体" w:hAnsi="宋体" w:eastAsia="宋体" w:cs="宋体"/>
          <w:color w:val="auto"/>
          <w:sz w:val="32"/>
          <w:szCs w:val="32"/>
          <w:highlight w:val="none"/>
        </w:rPr>
        <w:instrText xml:space="preserve"> PAGEREF _Toc28500 </w:instrText>
      </w:r>
      <w:r>
        <w:rPr>
          <w:rStyle w:val="54"/>
          <w:rFonts w:hint="eastAsia" w:ascii="宋体" w:hAnsi="宋体" w:eastAsia="宋体" w:cs="宋体"/>
          <w:color w:val="auto"/>
          <w:sz w:val="32"/>
          <w:szCs w:val="32"/>
          <w:highlight w:val="none"/>
        </w:rPr>
        <w:fldChar w:fldCharType="separate"/>
      </w:r>
      <w:r>
        <w:rPr>
          <w:rStyle w:val="54"/>
          <w:rFonts w:hint="eastAsia" w:ascii="宋体" w:hAnsi="宋体" w:eastAsia="宋体" w:cs="宋体"/>
          <w:color w:val="auto"/>
          <w:sz w:val="32"/>
          <w:szCs w:val="32"/>
          <w:highlight w:val="none"/>
        </w:rPr>
        <w:t>- 5 -</w:t>
      </w:r>
      <w:r>
        <w:rPr>
          <w:rStyle w:val="54"/>
          <w:rFonts w:hint="eastAsia" w:ascii="宋体" w:hAnsi="宋体" w:eastAsia="宋体" w:cs="宋体"/>
          <w:color w:val="auto"/>
          <w:sz w:val="32"/>
          <w:szCs w:val="32"/>
          <w:highlight w:val="none"/>
        </w:rPr>
        <w:fldChar w:fldCharType="end"/>
      </w:r>
      <w:r>
        <w:rPr>
          <w:rStyle w:val="54"/>
          <w:rFonts w:hint="eastAsia" w:ascii="宋体" w:hAnsi="宋体" w:eastAsia="宋体" w:cs="宋体"/>
          <w:color w:val="auto"/>
          <w:sz w:val="32"/>
          <w:szCs w:val="32"/>
          <w:highlight w:val="none"/>
        </w:rPr>
        <w:fldChar w:fldCharType="end"/>
      </w:r>
    </w:p>
    <w:p w14:paraId="7171900E">
      <w:pPr>
        <w:pStyle w:val="30"/>
        <w:tabs>
          <w:tab w:val="right" w:leader="dot" w:pos="8844"/>
        </w:tabs>
        <w:spacing w:line="48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"file:///C:\\Users\\Administrator.JX-20170906OSIR\\Desktop\\长沙水业集团有限公司招标代理机构入库项目.doc" \l "_Toc22553" </w:instrText>
      </w:r>
      <w:r>
        <w:rPr>
          <w:rFonts w:hint="eastAsia" w:ascii="宋体" w:hAnsi="宋体" w:eastAsia="宋体" w:cs="宋体"/>
          <w:color w:val="auto"/>
          <w:sz w:val="32"/>
          <w:szCs w:val="32"/>
          <w:highlight w:val="none"/>
        </w:rPr>
        <w:fldChar w:fldCharType="separate"/>
      </w:r>
      <w:r>
        <w:rPr>
          <w:rStyle w:val="54"/>
          <w:rFonts w:hint="eastAsia" w:ascii="宋体" w:hAnsi="宋体" w:eastAsia="宋体" w:cs="宋体"/>
          <w:color w:val="auto"/>
          <w:sz w:val="32"/>
          <w:szCs w:val="32"/>
          <w:highlight w:val="none"/>
        </w:rPr>
        <w:t>第三章</w:t>
      </w:r>
      <w:r>
        <w:rPr>
          <w:rStyle w:val="54"/>
          <w:rFonts w:hint="eastAsia" w:ascii="宋体" w:hAnsi="宋体" w:eastAsia="宋体" w:cs="宋体"/>
          <w:color w:val="auto"/>
          <w:sz w:val="32"/>
          <w:szCs w:val="32"/>
          <w:highlight w:val="none"/>
          <w:lang w:val="en-US" w:eastAsia="zh-CN"/>
        </w:rPr>
        <w:t xml:space="preserve">  </w:t>
      </w:r>
      <w:r>
        <w:rPr>
          <w:rStyle w:val="54"/>
          <w:rFonts w:hint="eastAsia" w:ascii="宋体" w:hAnsi="宋体" w:eastAsia="宋体" w:cs="宋体"/>
          <w:bCs/>
          <w:color w:val="auto"/>
          <w:sz w:val="32"/>
          <w:szCs w:val="32"/>
          <w:highlight w:val="none"/>
        </w:rPr>
        <w:t>合同格式</w:t>
      </w:r>
      <w:r>
        <w:rPr>
          <w:rStyle w:val="54"/>
          <w:rFonts w:hint="eastAsia" w:ascii="宋体" w:hAnsi="宋体" w:eastAsia="宋体" w:cs="宋体"/>
          <w:color w:val="auto"/>
          <w:sz w:val="32"/>
          <w:szCs w:val="32"/>
          <w:highlight w:val="none"/>
        </w:rPr>
        <w:tab/>
      </w:r>
      <w:r>
        <w:rPr>
          <w:rStyle w:val="54"/>
          <w:rFonts w:hint="eastAsia" w:ascii="宋体" w:hAnsi="宋体" w:eastAsia="宋体" w:cs="宋体"/>
          <w:color w:val="auto"/>
          <w:sz w:val="32"/>
          <w:szCs w:val="32"/>
          <w:highlight w:val="none"/>
        </w:rPr>
        <w:fldChar w:fldCharType="begin"/>
      </w:r>
      <w:r>
        <w:rPr>
          <w:rStyle w:val="54"/>
          <w:rFonts w:hint="eastAsia" w:ascii="宋体" w:hAnsi="宋体" w:eastAsia="宋体" w:cs="宋体"/>
          <w:color w:val="auto"/>
          <w:sz w:val="32"/>
          <w:szCs w:val="32"/>
          <w:highlight w:val="none"/>
        </w:rPr>
        <w:instrText xml:space="preserve"> PAGEREF _Toc22553 </w:instrText>
      </w:r>
      <w:r>
        <w:rPr>
          <w:rStyle w:val="54"/>
          <w:rFonts w:hint="eastAsia" w:ascii="宋体" w:hAnsi="宋体" w:eastAsia="宋体" w:cs="宋体"/>
          <w:color w:val="auto"/>
          <w:sz w:val="32"/>
          <w:szCs w:val="32"/>
          <w:highlight w:val="none"/>
        </w:rPr>
        <w:fldChar w:fldCharType="separate"/>
      </w:r>
      <w:r>
        <w:rPr>
          <w:rStyle w:val="54"/>
          <w:rFonts w:hint="eastAsia" w:ascii="宋体" w:hAnsi="宋体" w:eastAsia="宋体" w:cs="宋体"/>
          <w:color w:val="auto"/>
          <w:sz w:val="32"/>
          <w:szCs w:val="32"/>
          <w:highlight w:val="none"/>
        </w:rPr>
        <w:t>- 19 -</w:t>
      </w:r>
      <w:r>
        <w:rPr>
          <w:rStyle w:val="54"/>
          <w:rFonts w:hint="eastAsia" w:ascii="宋体" w:hAnsi="宋体" w:eastAsia="宋体" w:cs="宋体"/>
          <w:color w:val="auto"/>
          <w:sz w:val="32"/>
          <w:szCs w:val="32"/>
          <w:highlight w:val="none"/>
        </w:rPr>
        <w:fldChar w:fldCharType="end"/>
      </w:r>
      <w:r>
        <w:rPr>
          <w:rStyle w:val="54"/>
          <w:rFonts w:hint="eastAsia" w:ascii="宋体" w:hAnsi="宋体" w:eastAsia="宋体" w:cs="宋体"/>
          <w:color w:val="auto"/>
          <w:sz w:val="32"/>
          <w:szCs w:val="32"/>
          <w:highlight w:val="none"/>
        </w:rPr>
        <w:fldChar w:fldCharType="end"/>
      </w:r>
    </w:p>
    <w:p w14:paraId="79F05CD7">
      <w:pPr>
        <w:pStyle w:val="30"/>
        <w:tabs>
          <w:tab w:val="right" w:leader="dot" w:pos="8844"/>
        </w:tabs>
        <w:spacing w:line="480" w:lineRule="auto"/>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"file:///C:\\Users\\Administrator.JX-20170906OSIR\\Desktop\\长沙水业集团有限公司招标代理机构入库项目.doc" \l "_Toc20545" </w:instrText>
      </w:r>
      <w:r>
        <w:rPr>
          <w:rFonts w:hint="eastAsia" w:ascii="宋体" w:hAnsi="宋体" w:eastAsia="宋体" w:cs="宋体"/>
          <w:color w:val="auto"/>
          <w:sz w:val="32"/>
          <w:szCs w:val="32"/>
          <w:highlight w:val="none"/>
        </w:rPr>
        <w:fldChar w:fldCharType="separate"/>
      </w:r>
      <w:r>
        <w:rPr>
          <w:rStyle w:val="54"/>
          <w:rFonts w:hint="eastAsia" w:ascii="宋体" w:hAnsi="宋体" w:eastAsia="宋体" w:cs="宋体"/>
          <w:bCs/>
          <w:color w:val="auto"/>
          <w:sz w:val="32"/>
          <w:szCs w:val="32"/>
          <w:highlight w:val="none"/>
        </w:rPr>
        <w:t>第四章</w:t>
      </w:r>
      <w:r>
        <w:rPr>
          <w:rStyle w:val="54"/>
          <w:rFonts w:hint="eastAsia" w:ascii="宋体" w:hAnsi="宋体" w:eastAsia="宋体" w:cs="宋体"/>
          <w:bCs/>
          <w:color w:val="auto"/>
          <w:sz w:val="32"/>
          <w:szCs w:val="32"/>
          <w:highlight w:val="none"/>
          <w:lang w:val="en-US" w:eastAsia="zh-CN"/>
        </w:rPr>
        <w:t xml:space="preserve">  </w:t>
      </w:r>
      <w:r>
        <w:rPr>
          <w:rStyle w:val="54"/>
          <w:rFonts w:hint="eastAsia" w:ascii="宋体" w:hAnsi="宋体" w:eastAsia="宋体" w:cs="宋体"/>
          <w:color w:val="auto"/>
          <w:sz w:val="32"/>
          <w:szCs w:val="32"/>
          <w:highlight w:val="none"/>
        </w:rPr>
        <w:t>采购需求</w:t>
      </w:r>
      <w:r>
        <w:rPr>
          <w:rStyle w:val="54"/>
          <w:rFonts w:hint="eastAsia" w:ascii="宋体" w:hAnsi="宋体" w:eastAsia="宋体" w:cs="宋体"/>
          <w:color w:val="auto"/>
          <w:sz w:val="32"/>
          <w:szCs w:val="32"/>
          <w:highlight w:val="none"/>
        </w:rPr>
        <w:tab/>
      </w:r>
      <w:r>
        <w:rPr>
          <w:rStyle w:val="54"/>
          <w:rFonts w:hint="eastAsia" w:ascii="宋体" w:hAnsi="宋体" w:eastAsia="宋体" w:cs="宋体"/>
          <w:color w:val="auto"/>
          <w:sz w:val="32"/>
          <w:szCs w:val="32"/>
          <w:highlight w:val="none"/>
        </w:rPr>
        <w:fldChar w:fldCharType="end"/>
      </w:r>
      <w:r>
        <w:rPr>
          <w:rStyle w:val="54"/>
          <w:rFonts w:hint="eastAsia" w:ascii="宋体" w:hAnsi="宋体" w:cs="宋体"/>
          <w:color w:val="auto"/>
          <w:sz w:val="32"/>
          <w:szCs w:val="32"/>
          <w:highlight w:val="none"/>
          <w:lang w:val="en-US" w:eastAsia="zh-CN"/>
        </w:rPr>
        <w:t>49</w:t>
      </w:r>
    </w:p>
    <w:p w14:paraId="09DDE4EC">
      <w:pPr>
        <w:pStyle w:val="30"/>
        <w:tabs>
          <w:tab w:val="right" w:leader="dot" w:pos="8844"/>
        </w:tabs>
        <w:spacing w:line="480" w:lineRule="auto"/>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"file:///C:\\Users\\Administrator.JX-20170906OSIR\\Desktop\\长沙水业集团有限公司招标代理机构入库项目.doc" \l "_Toc28658" </w:instrText>
      </w:r>
      <w:r>
        <w:rPr>
          <w:rFonts w:hint="eastAsia" w:ascii="宋体" w:hAnsi="宋体" w:eastAsia="宋体" w:cs="宋体"/>
          <w:color w:val="auto"/>
          <w:sz w:val="32"/>
          <w:szCs w:val="32"/>
          <w:highlight w:val="none"/>
        </w:rPr>
        <w:fldChar w:fldCharType="separate"/>
      </w:r>
      <w:r>
        <w:rPr>
          <w:rStyle w:val="54"/>
          <w:rFonts w:hint="eastAsia" w:ascii="宋体" w:hAnsi="宋体" w:eastAsia="宋体" w:cs="宋体"/>
          <w:color w:val="auto"/>
          <w:sz w:val="32"/>
          <w:szCs w:val="32"/>
          <w:highlight w:val="none"/>
        </w:rPr>
        <w:t>第五章</w:t>
      </w:r>
      <w:r>
        <w:rPr>
          <w:rStyle w:val="54"/>
          <w:rFonts w:hint="eastAsia" w:ascii="宋体" w:hAnsi="宋体" w:eastAsia="宋体" w:cs="宋体"/>
          <w:color w:val="auto"/>
          <w:sz w:val="32"/>
          <w:szCs w:val="32"/>
          <w:highlight w:val="none"/>
          <w:lang w:val="en-US" w:eastAsia="zh-CN"/>
        </w:rPr>
        <w:t xml:space="preserve">  </w:t>
      </w:r>
      <w:r>
        <w:rPr>
          <w:rStyle w:val="54"/>
          <w:rFonts w:hint="eastAsia" w:ascii="宋体" w:hAnsi="宋体" w:eastAsia="宋体" w:cs="宋体"/>
          <w:color w:val="auto"/>
          <w:sz w:val="32"/>
          <w:szCs w:val="32"/>
          <w:highlight w:val="none"/>
        </w:rPr>
        <w:t>响应文件组成</w:t>
      </w:r>
      <w:r>
        <w:rPr>
          <w:rStyle w:val="54"/>
          <w:rFonts w:hint="eastAsia" w:ascii="宋体" w:hAnsi="宋体" w:eastAsia="宋体" w:cs="宋体"/>
          <w:color w:val="auto"/>
          <w:sz w:val="32"/>
          <w:szCs w:val="32"/>
          <w:highlight w:val="none"/>
        </w:rPr>
        <w:tab/>
      </w:r>
      <w:r>
        <w:rPr>
          <w:rStyle w:val="54"/>
          <w:rFonts w:hint="eastAsia" w:ascii="宋体" w:hAnsi="宋体" w:eastAsia="宋体" w:cs="宋体"/>
          <w:color w:val="auto"/>
          <w:sz w:val="32"/>
          <w:szCs w:val="32"/>
          <w:highlight w:val="none"/>
        </w:rPr>
        <w:fldChar w:fldCharType="end"/>
      </w:r>
      <w:r>
        <w:rPr>
          <w:rStyle w:val="54"/>
          <w:rFonts w:hint="eastAsia" w:ascii="宋体" w:hAnsi="宋体" w:cs="宋体"/>
          <w:color w:val="auto"/>
          <w:sz w:val="32"/>
          <w:szCs w:val="32"/>
          <w:highlight w:val="none"/>
          <w:lang w:val="en-US" w:eastAsia="zh-CN"/>
        </w:rPr>
        <w:t>50</w:t>
      </w:r>
    </w:p>
    <w:p w14:paraId="28822833">
      <w:pPr>
        <w:pStyle w:val="22"/>
        <w:adjustRightInd w:val="0"/>
        <w:snapToGrid w:val="0"/>
        <w:spacing w:line="480" w:lineRule="auto"/>
        <w:jc w:val="center"/>
        <w:outlineLvl w:val="9"/>
        <w:rPr>
          <w:rFonts w:hint="eastAsia" w:ascii="宋体" w:hAnsi="宋体" w:eastAsia="宋体" w:cs="宋体"/>
          <w:color w:val="auto"/>
          <w:spacing w:val="160"/>
          <w:sz w:val="36"/>
          <w:szCs w:val="36"/>
          <w:highlight w:val="none"/>
        </w:rPr>
      </w:pPr>
      <w:r>
        <w:rPr>
          <w:rFonts w:hint="eastAsia" w:ascii="宋体" w:hAnsi="宋体" w:eastAsia="宋体" w:cs="宋体"/>
          <w:color w:val="auto"/>
          <w:spacing w:val="160"/>
          <w:sz w:val="32"/>
          <w:szCs w:val="32"/>
          <w:highlight w:val="none"/>
        </w:rPr>
        <w:fldChar w:fldCharType="end"/>
      </w:r>
    </w:p>
    <w:p w14:paraId="7EAA99D0">
      <w:pPr>
        <w:spacing w:line="370" w:lineRule="exact"/>
        <w:jc w:val="center"/>
        <w:outlineLvl w:val="0"/>
        <w:rPr>
          <w:rFonts w:hint="eastAsia" w:ascii="宋体" w:hAnsi="宋体" w:eastAsia="宋体" w:cs="宋体"/>
          <w:b/>
          <w:color w:val="auto"/>
          <w:sz w:val="32"/>
          <w:szCs w:val="32"/>
          <w:highlight w:val="none"/>
        </w:rPr>
        <w:sectPr>
          <w:footerReference r:id="rId5" w:type="first"/>
          <w:footerReference r:id="rId3" w:type="default"/>
          <w:footerReference r:id="rId4" w:type="even"/>
          <w:pgSz w:w="11906" w:h="16838"/>
          <w:pgMar w:top="1440" w:right="1797" w:bottom="1440" w:left="1797" w:header="851" w:footer="992" w:gutter="0"/>
          <w:pgNumType w:fmt="numberInDash" w:start="1"/>
          <w:cols w:space="720" w:num="1"/>
          <w:titlePg/>
          <w:docGrid w:type="lines" w:linePitch="312" w:charSpace="0"/>
        </w:sectPr>
      </w:pPr>
      <w:bookmarkStart w:id="0" w:name="_Toc23927"/>
      <w:bookmarkStart w:id="1" w:name="_Toc1989_WPSOffice_Level1"/>
      <w:bookmarkStart w:id="2" w:name="_Toc12157"/>
    </w:p>
    <w:p w14:paraId="7F439046">
      <w:pPr>
        <w:spacing w:line="37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第一章  磋商</w:t>
      </w:r>
      <w:bookmarkEnd w:id="0"/>
      <w:bookmarkEnd w:id="1"/>
      <w:bookmarkEnd w:id="2"/>
      <w:r>
        <w:rPr>
          <w:rFonts w:hint="eastAsia" w:ascii="宋体" w:hAnsi="宋体" w:eastAsia="宋体" w:cs="宋体"/>
          <w:b/>
          <w:color w:val="auto"/>
          <w:sz w:val="32"/>
          <w:szCs w:val="32"/>
          <w:highlight w:val="none"/>
        </w:rPr>
        <w:t>公告</w:t>
      </w:r>
    </w:p>
    <w:p w14:paraId="4F3C3F2E">
      <w:pPr>
        <w:pStyle w:val="64"/>
        <w:rPr>
          <w:rFonts w:hint="eastAsia" w:ascii="宋体" w:hAnsi="宋体" w:eastAsia="宋体" w:cs="宋体"/>
          <w:color w:val="auto"/>
          <w:sz w:val="20"/>
          <w:szCs w:val="20"/>
          <w:highlight w:val="none"/>
        </w:rPr>
      </w:pPr>
    </w:p>
    <w:p w14:paraId="5DFB362B">
      <w:pPr>
        <w:adjustRightInd w:val="0"/>
        <w:snapToGrid w:val="0"/>
        <w:spacing w:line="370" w:lineRule="exact"/>
        <w:ind w:firstLine="525" w:firstLineChars="25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天鉴国际工程管理有限公司</w:t>
      </w:r>
      <w:r>
        <w:rPr>
          <w:rFonts w:hint="eastAsia" w:ascii="宋体" w:hAnsi="宋体" w:eastAsia="宋体" w:cs="宋体"/>
          <w:color w:val="auto"/>
          <w:szCs w:val="21"/>
          <w:highlight w:val="none"/>
        </w:rPr>
        <w:t>受</w:t>
      </w:r>
      <w:r>
        <w:rPr>
          <w:rFonts w:hint="eastAsia" w:ascii="宋体" w:hAnsi="宋体" w:cs="宋体"/>
          <w:color w:val="auto"/>
          <w:szCs w:val="21"/>
          <w:highlight w:val="none"/>
          <w:u w:val="single"/>
          <w:lang w:eastAsia="zh-CN"/>
        </w:rPr>
        <w:t>长沙市排水有限责任公司</w:t>
      </w:r>
      <w:r>
        <w:rPr>
          <w:rFonts w:hint="eastAsia" w:ascii="宋体" w:hAnsi="宋体" w:eastAsia="宋体" w:cs="宋体"/>
          <w:color w:val="auto"/>
          <w:szCs w:val="21"/>
          <w:highlight w:val="none"/>
        </w:rPr>
        <w:t>的委托，对</w:t>
      </w:r>
      <w:r>
        <w:rPr>
          <w:rFonts w:hint="eastAsia" w:ascii="宋体" w:hAnsi="宋体" w:cs="宋体"/>
          <w:color w:val="auto"/>
          <w:szCs w:val="21"/>
          <w:highlight w:val="none"/>
          <w:u w:val="single"/>
          <w:lang w:val="en-US" w:eastAsia="zh-CN"/>
        </w:rPr>
        <w:t>长沙市排水有限责任公司2026年进出水在线仪表运营维护服务项目</w:t>
      </w:r>
      <w:r>
        <w:rPr>
          <w:rFonts w:hint="eastAsia" w:ascii="宋体" w:hAnsi="宋体" w:eastAsia="宋体" w:cs="宋体"/>
          <w:color w:val="auto"/>
          <w:szCs w:val="21"/>
          <w:highlight w:val="none"/>
        </w:rPr>
        <w:t>进行</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采购，现采用网上公开发布方式，</w:t>
      </w:r>
      <w:r>
        <w:rPr>
          <w:rFonts w:hint="eastAsia" w:ascii="宋体" w:hAnsi="宋体" w:eastAsia="宋体" w:cs="宋体"/>
          <w:color w:val="auto"/>
          <w:highlight w:val="none"/>
        </w:rPr>
        <w:t>欢迎符合资格条件的供应商参与</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采购活动</w:t>
      </w:r>
      <w:r>
        <w:rPr>
          <w:rFonts w:hint="eastAsia" w:ascii="宋体" w:hAnsi="宋体" w:eastAsia="宋体" w:cs="宋体"/>
          <w:color w:val="auto"/>
          <w:szCs w:val="21"/>
          <w:highlight w:val="none"/>
        </w:rPr>
        <w:t>。</w:t>
      </w:r>
    </w:p>
    <w:p w14:paraId="6C9601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bookmarkStart w:id="3" w:name="_Toc28697_WPSOffice_Level2"/>
      <w:r>
        <w:rPr>
          <w:rFonts w:hint="eastAsia" w:ascii="宋体" w:hAnsi="宋体" w:eastAsia="宋体" w:cs="宋体"/>
          <w:b/>
          <w:color w:val="auto"/>
          <w:szCs w:val="21"/>
          <w:highlight w:val="none"/>
        </w:rPr>
        <w:t>一、采购项目基本概况</w:t>
      </w:r>
      <w:bookmarkEnd w:id="3"/>
    </w:p>
    <w:p w14:paraId="6C5187D1">
      <w:pPr>
        <w:adjustRightInd w:val="0"/>
        <w:snapToGrid w:val="0"/>
        <w:spacing w:line="360" w:lineRule="auto"/>
        <w:ind w:firstLine="525" w:firstLineChars="250"/>
        <w:rPr>
          <w:rFonts w:hint="eastAsia" w:ascii="宋体" w:hAnsi="宋体" w:eastAsia="宋体" w:cs="宋体"/>
          <w:color w:val="auto"/>
          <w:highlight w:val="none"/>
          <w:u w:val="single"/>
          <w:lang w:val="en-US" w:eastAsia="zh-CN"/>
        </w:rPr>
      </w:pPr>
      <w:bookmarkStart w:id="4" w:name="_Toc32610_WPSOffice_Level2"/>
      <w:r>
        <w:rPr>
          <w:rFonts w:hint="eastAsia" w:ascii="宋体" w:hAnsi="宋体" w:eastAsia="宋体" w:cs="宋体"/>
          <w:color w:val="auto"/>
          <w:highlight w:val="none"/>
        </w:rPr>
        <w:t>1、采购项目名称：</w:t>
      </w:r>
      <w:r>
        <w:rPr>
          <w:rFonts w:hint="eastAsia" w:ascii="宋体" w:hAnsi="宋体" w:cs="宋体"/>
          <w:color w:val="auto"/>
          <w:highlight w:val="none"/>
          <w:u w:val="single"/>
          <w:lang w:val="en-US" w:eastAsia="zh-CN"/>
        </w:rPr>
        <w:t>长沙市排水有限责任公司2026年进出水在线仪表运营维护服务项目</w:t>
      </w:r>
    </w:p>
    <w:p w14:paraId="4F567FA9">
      <w:pPr>
        <w:adjustRightInd w:val="0"/>
        <w:snapToGrid w:val="0"/>
        <w:spacing w:line="360" w:lineRule="auto"/>
        <w:ind w:firstLine="525" w:firstLineChars="25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2、采购内容：</w:t>
      </w:r>
      <w:r>
        <w:rPr>
          <w:rFonts w:hint="eastAsia" w:ascii="宋体" w:hAnsi="宋体" w:cs="宋体"/>
          <w:color w:val="auto"/>
          <w:highlight w:val="none"/>
          <w:u w:val="single"/>
          <w:lang w:val="en-US" w:eastAsia="zh-CN"/>
        </w:rPr>
        <w:t>维护单位对我司下属长善垸、花桥、新开铺、雨花、暮云、新港六家水质净化厂的进出水在线仪表进行保养维护，包括进出水在线仪表、数采仪、混合采样仪器等现场端设施，确保及时准确的向环保平台上传在线数据，维护设备在线指标包括进水COD、氨氮、总磷、总氮，出水COD、氨氮、总磷、总氮和pH</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lang w:eastAsia="zh-CN"/>
        </w:rPr>
        <w:t>具体内容及要求详见第四章采购需求</w:t>
      </w:r>
      <w:r>
        <w:rPr>
          <w:rFonts w:hint="eastAsia" w:ascii="宋体" w:hAnsi="宋体" w:eastAsia="宋体" w:cs="宋体"/>
          <w:color w:val="auto"/>
          <w:highlight w:val="none"/>
          <w:u w:val="single"/>
          <w:lang w:val="en-US" w:eastAsia="zh-CN"/>
        </w:rPr>
        <w:t>。</w:t>
      </w:r>
    </w:p>
    <w:p w14:paraId="56ACCCD4">
      <w:pPr>
        <w:adjustRightInd w:val="0"/>
        <w:snapToGrid w:val="0"/>
        <w:spacing w:line="360" w:lineRule="auto"/>
        <w:ind w:firstLine="525" w:firstLineChars="25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3、最高限价</w:t>
      </w:r>
      <w:r>
        <w:rPr>
          <w:rFonts w:hint="eastAsia" w:ascii="宋体" w:hAnsi="宋体" w:eastAsia="宋体" w:cs="宋体"/>
          <w:color w:val="auto"/>
          <w:highlight w:val="none"/>
        </w:rPr>
        <w:t>：</w:t>
      </w:r>
      <w:r>
        <w:rPr>
          <w:rFonts w:hint="eastAsia" w:ascii="宋体" w:hAnsi="宋体" w:cs="宋体"/>
          <w:color w:val="auto"/>
          <w:highlight w:val="none"/>
          <w:u w:val="single"/>
          <w:lang w:val="en-US" w:eastAsia="zh-CN"/>
        </w:rPr>
        <w:t>含税796037元，6%</w:t>
      </w:r>
      <w:r>
        <w:rPr>
          <w:rFonts w:hint="eastAsia" w:ascii="宋体" w:hAnsi="宋体" w:eastAsia="宋体" w:cs="宋体"/>
          <w:color w:val="auto"/>
          <w:highlight w:val="none"/>
          <w:u w:val="single"/>
          <w:lang w:val="en-US" w:eastAsia="zh-CN"/>
        </w:rPr>
        <w:t>。</w:t>
      </w:r>
    </w:p>
    <w:p w14:paraId="4AAE43A1">
      <w:pPr>
        <w:adjustRightInd w:val="0"/>
        <w:snapToGrid w:val="0"/>
        <w:spacing w:line="360" w:lineRule="auto"/>
        <w:ind w:firstLine="525" w:firstLineChars="25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服务</w:t>
      </w:r>
      <w:r>
        <w:rPr>
          <w:rFonts w:hint="eastAsia" w:ascii="宋体" w:hAnsi="宋体" w:eastAsia="宋体" w:cs="宋体"/>
          <w:color w:val="auto"/>
          <w:highlight w:val="none"/>
          <w:lang w:val="en-US" w:eastAsia="zh-CN"/>
        </w:rPr>
        <w:t>期限：</w:t>
      </w:r>
      <w:bookmarkStart w:id="5" w:name="_Hlk129608718"/>
      <w:r>
        <w:rPr>
          <w:rFonts w:hint="eastAsia" w:ascii="宋体" w:hAnsi="宋体" w:eastAsia="宋体" w:cs="宋体"/>
          <w:color w:val="auto"/>
          <w:highlight w:val="none"/>
          <w:u w:val="single"/>
          <w:lang w:val="en-US" w:eastAsia="zh-CN"/>
        </w:rPr>
        <w:t>项目总工期为1年。</w:t>
      </w:r>
    </w:p>
    <w:p w14:paraId="18028BB8">
      <w:pPr>
        <w:adjustRightInd w:val="0"/>
        <w:snapToGrid w:val="0"/>
        <w:spacing w:line="370" w:lineRule="exact"/>
        <w:ind w:firstLine="525" w:firstLineChars="250"/>
        <w:rPr>
          <w:rFonts w:hint="default"/>
          <w:highlight w:val="none"/>
          <w:lang w:val="en-US" w:eastAsia="zh-CN"/>
        </w:rPr>
      </w:pPr>
      <w:r>
        <w:rPr>
          <w:rFonts w:hint="eastAsia" w:ascii="宋体" w:hAnsi="宋体" w:cs="宋体"/>
          <w:color w:val="auto"/>
          <w:highlight w:val="none"/>
          <w:u w:val="none"/>
          <w:lang w:val="en-US" w:eastAsia="zh-CN"/>
        </w:rPr>
        <w:t>5、</w:t>
      </w:r>
      <w:r>
        <w:rPr>
          <w:rFonts w:hint="default" w:ascii="宋体" w:hAnsi="宋体" w:eastAsia="宋体" w:cs="宋体"/>
          <w:color w:val="auto"/>
          <w:highlight w:val="none"/>
          <w:lang w:val="en-US" w:eastAsia="zh-CN"/>
        </w:rPr>
        <w:t>定点数量：</w:t>
      </w:r>
      <w:r>
        <w:rPr>
          <w:rFonts w:hint="eastAsia" w:ascii="宋体" w:hAnsi="宋体" w:cs="宋体"/>
          <w:color w:val="auto"/>
          <w:highlight w:val="none"/>
          <w:u w:val="single"/>
          <w:lang w:val="en-US" w:eastAsia="zh-CN"/>
        </w:rPr>
        <w:t>2</w:t>
      </w:r>
      <w:r>
        <w:rPr>
          <w:rFonts w:hint="default" w:ascii="宋体" w:hAnsi="宋体" w:eastAsia="宋体" w:cs="宋体"/>
          <w:color w:val="auto"/>
          <w:highlight w:val="none"/>
          <w:u w:val="single"/>
          <w:lang w:val="en-US" w:eastAsia="zh-CN"/>
        </w:rPr>
        <w:t>家。当N≥</w:t>
      </w:r>
      <w:r>
        <w:rPr>
          <w:rFonts w:hint="eastAsia" w:ascii="宋体" w:hAnsi="宋体" w:cs="宋体"/>
          <w:color w:val="auto"/>
          <w:highlight w:val="none"/>
          <w:u w:val="single"/>
          <w:lang w:val="en-US" w:eastAsia="zh-CN"/>
        </w:rPr>
        <w:t>4</w:t>
      </w:r>
      <w:r>
        <w:rPr>
          <w:rFonts w:hint="default" w:ascii="宋体" w:hAnsi="宋体" w:eastAsia="宋体" w:cs="宋体"/>
          <w:color w:val="auto"/>
          <w:highlight w:val="none"/>
          <w:u w:val="single"/>
          <w:lang w:val="en-US" w:eastAsia="zh-CN"/>
        </w:rPr>
        <w:t>家时，定点数量为</w:t>
      </w:r>
      <w:r>
        <w:rPr>
          <w:rFonts w:hint="eastAsia" w:ascii="宋体" w:hAnsi="宋体" w:cs="宋体"/>
          <w:color w:val="auto"/>
          <w:highlight w:val="none"/>
          <w:u w:val="single"/>
          <w:lang w:val="en-US" w:eastAsia="zh-CN"/>
        </w:rPr>
        <w:t>2</w:t>
      </w:r>
      <w:r>
        <w:rPr>
          <w:rFonts w:hint="default" w:ascii="宋体" w:hAnsi="宋体" w:eastAsia="宋体" w:cs="宋体"/>
          <w:color w:val="auto"/>
          <w:highlight w:val="none"/>
          <w:u w:val="single"/>
          <w:lang w:val="en-US" w:eastAsia="zh-CN"/>
        </w:rPr>
        <w:t>家</w:t>
      </w:r>
      <w:r>
        <w:rPr>
          <w:rFonts w:hint="eastAsia" w:ascii="宋体" w:hAnsi="宋体" w:cs="宋体"/>
          <w:color w:val="auto"/>
          <w:highlight w:val="none"/>
          <w:u w:val="single"/>
          <w:lang w:val="en-US" w:eastAsia="zh-CN"/>
        </w:rPr>
        <w:t>。</w:t>
      </w:r>
      <w:r>
        <w:rPr>
          <w:rFonts w:hint="eastAsia" w:ascii="宋体" w:hAnsi="宋体" w:cs="宋体"/>
          <w:color w:val="auto"/>
          <w:szCs w:val="21"/>
          <w:highlight w:val="none"/>
          <w:u w:val="single"/>
          <w:lang w:val="en-US" w:eastAsia="zh-CN"/>
        </w:rPr>
        <w:t>当</w:t>
      </w:r>
      <w:r>
        <w:rPr>
          <w:rFonts w:hint="eastAsia" w:ascii="宋体" w:hAnsi="宋体" w:cs="宋体"/>
          <w:color w:val="auto"/>
          <w:szCs w:val="21"/>
          <w:highlight w:val="none"/>
          <w:u w:val="single"/>
        </w:rPr>
        <w:t>N＜</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家时</w:t>
      </w:r>
      <w:r>
        <w:rPr>
          <w:rFonts w:hint="eastAsia" w:ascii="宋体" w:hAnsi="宋体" w:cs="宋体"/>
          <w:color w:val="auto"/>
          <w:szCs w:val="21"/>
          <w:highlight w:val="none"/>
          <w:u w:val="single"/>
          <w:lang w:val="en-US" w:eastAsia="zh-CN"/>
        </w:rPr>
        <w:t>此项目流标，采购人重新组织招采</w:t>
      </w:r>
      <w:r>
        <w:rPr>
          <w:rFonts w:hint="eastAsia" w:ascii="宋体" w:hAnsi="宋体" w:eastAsia="宋体" w:cs="宋体"/>
          <w:color w:val="auto"/>
          <w:szCs w:val="21"/>
          <w:highlight w:val="none"/>
          <w:u w:val="single"/>
          <w:lang w:val="en-US" w:eastAsia="zh-CN"/>
        </w:rPr>
        <w:t>（N为合格</w:t>
      </w:r>
      <w:r>
        <w:rPr>
          <w:rFonts w:hint="eastAsia" w:ascii="宋体" w:hAnsi="宋体" w:cs="宋体"/>
          <w:color w:val="auto"/>
          <w:szCs w:val="21"/>
          <w:highlight w:val="none"/>
          <w:u w:val="single"/>
          <w:lang w:val="en-US" w:eastAsia="zh-CN"/>
        </w:rPr>
        <w:t>供应商</w:t>
      </w:r>
      <w:r>
        <w:rPr>
          <w:rFonts w:hint="eastAsia" w:ascii="宋体" w:hAnsi="宋体" w:eastAsia="宋体" w:cs="宋体"/>
          <w:color w:val="auto"/>
          <w:szCs w:val="21"/>
          <w:highlight w:val="none"/>
          <w:u w:val="single"/>
          <w:lang w:val="en-US" w:eastAsia="zh-CN"/>
        </w:rPr>
        <w:t>数量）。</w:t>
      </w:r>
      <w:bookmarkStart w:id="74" w:name="_GoBack"/>
      <w:bookmarkEnd w:id="74"/>
    </w:p>
    <w:bookmarkEnd w:id="4"/>
    <w:bookmarkEnd w:id="5"/>
    <w:p w14:paraId="50E51B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bookmarkStart w:id="6" w:name="_Toc18282_WPSOffice_Level2"/>
      <w:r>
        <w:rPr>
          <w:rFonts w:hint="eastAsia" w:ascii="宋体" w:hAnsi="宋体" w:eastAsia="宋体" w:cs="宋体"/>
          <w:b/>
          <w:color w:val="auto"/>
          <w:szCs w:val="21"/>
          <w:highlight w:val="none"/>
        </w:rPr>
        <w:t>二、供应商资格条件：</w:t>
      </w:r>
      <w:bookmarkEnd w:id="6"/>
    </w:p>
    <w:p w14:paraId="0FC609FC">
      <w:pPr>
        <w:snapToGrid w:val="0"/>
        <w:spacing w:line="360" w:lineRule="auto"/>
        <w:ind w:right="-195" w:rightChars="-93" w:firstLine="420" w:firstLineChars="200"/>
        <w:rPr>
          <w:rFonts w:hint="eastAsia" w:ascii="宋体" w:hAnsi="宋体" w:eastAsia="宋体" w:cs="宋体"/>
          <w:color w:val="auto"/>
          <w:szCs w:val="21"/>
          <w:highlight w:val="none"/>
        </w:rPr>
      </w:pPr>
      <w:bookmarkStart w:id="7" w:name="_Toc24981_WPSOffice_Level2"/>
      <w:r>
        <w:rPr>
          <w:rFonts w:hint="eastAsia" w:ascii="宋体" w:hAnsi="宋体" w:eastAsia="宋体" w:cs="宋体"/>
          <w:color w:val="auto"/>
          <w:szCs w:val="21"/>
          <w:highlight w:val="none"/>
        </w:rPr>
        <w:t>1、供应商基本资格条件：</w:t>
      </w:r>
    </w:p>
    <w:p w14:paraId="68A5C263">
      <w:pPr>
        <w:snapToGrid w:val="0"/>
        <w:spacing w:line="360" w:lineRule="auto"/>
        <w:ind w:right="-195" w:rightChars="-93"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1.1、在中国境内注册，具有独立法人资格，能独立承担民事责任及履行合同能力；提交企业法人营业执照副本扫描件；</w:t>
      </w:r>
    </w:p>
    <w:p w14:paraId="3CF0DD69">
      <w:pPr>
        <w:snapToGrid w:val="0"/>
        <w:spacing w:line="360" w:lineRule="auto"/>
        <w:ind w:right="-195" w:rightChars="-93"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1.2、法人提交法定代表人身份证明或者法定代表人授权委托书扫描件；</w:t>
      </w:r>
    </w:p>
    <w:p w14:paraId="5F41004B">
      <w:pPr>
        <w:snapToGrid w:val="0"/>
        <w:spacing w:line="360" w:lineRule="auto"/>
        <w:ind w:right="-195" w:rightChars="-93"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1.3、依法缴纳税收的证明材料：各提供下列材料之一：</w:t>
      </w:r>
    </w:p>
    <w:p w14:paraId="53F8F0E9">
      <w:pPr>
        <w:snapToGrid w:val="0"/>
        <w:spacing w:line="360" w:lineRule="auto"/>
        <w:ind w:right="-195" w:rightChars="-93"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税收证明资料:《税务登记证》扫描件，或者近三个月内任意一个月依法缴纳税收的证明（纳税凭证扫描件），或者委托他人缴纳的委托代办协议和近三个月内任意一个月的缴纳证明（收据扫描件），或者法定征收机关出具的依法免缴税收的证明扫描件；</w:t>
      </w:r>
    </w:p>
    <w:p w14:paraId="19108E3B">
      <w:pPr>
        <w:snapToGrid w:val="0"/>
        <w:spacing w:line="360" w:lineRule="auto"/>
        <w:ind w:right="-195" w:rightChars="-93"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注：近三个月是指</w:t>
      </w:r>
      <w:r>
        <w:rPr>
          <w:rFonts w:hint="eastAsia" w:ascii="宋体" w:hAnsi="宋体" w:cs="宋体"/>
          <w:color w:val="auto"/>
          <w:szCs w:val="21"/>
          <w:highlight w:val="none"/>
          <w:lang w:val="en-US" w:eastAsia="zh-CN"/>
        </w:rPr>
        <w:t>2025年8月至2025年10月</w:t>
      </w:r>
      <w:r>
        <w:rPr>
          <w:rFonts w:hint="eastAsia" w:ascii="宋体" w:hAnsi="宋体" w:eastAsia="宋体" w:cs="宋体"/>
          <w:color w:val="auto"/>
          <w:szCs w:val="21"/>
          <w:highlight w:val="none"/>
        </w:rPr>
        <w:t>；</w:t>
      </w:r>
    </w:p>
    <w:p w14:paraId="7D7F8353">
      <w:pPr>
        <w:snapToGrid w:val="0"/>
        <w:spacing w:line="360" w:lineRule="auto"/>
        <w:ind w:right="-195" w:rightChars="-93"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具有实行了“三证合一”登记制度改革的新证，视同为持有工商营业执照、组织机构代码证和税务登记证，符合基本资格条件的相关条款。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具有实行了“五证合一”登记制度改革的新证，视同为持有工商营业执照、组织机构代码证、税务登记证、社会保险登记证和统计登记证，符合基本资格条件的相关条款。</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如是“三证合一”或“五证合一”请自行说明；</w:t>
      </w:r>
    </w:p>
    <w:p w14:paraId="5B19ED5B">
      <w:pPr>
        <w:snapToGrid w:val="0"/>
        <w:spacing w:line="360" w:lineRule="auto"/>
        <w:ind w:right="-195" w:rightChars="-93"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被“信用中国”网站列入失信被执行人和重大税收违法案件当事人名单的、被“中国政府采购网”网站列入政府采购严重违法失信行为记录名单（处罚期限尚未届满的），不得参与本项目的采购活动</w:t>
      </w:r>
      <w:r>
        <w:rPr>
          <w:rFonts w:hint="eastAsia" w:ascii="宋体" w:hAnsi="宋体" w:eastAsia="宋体" w:cs="宋体"/>
          <w:color w:val="auto"/>
          <w:szCs w:val="21"/>
          <w:highlight w:val="none"/>
          <w:lang w:eastAsia="zh-CN"/>
        </w:rPr>
        <w:t>；</w:t>
      </w:r>
    </w:p>
    <w:p w14:paraId="2D5561A7">
      <w:pPr>
        <w:snapToGrid w:val="0"/>
        <w:spacing w:line="360" w:lineRule="auto"/>
        <w:ind w:right="-195" w:rightChars="-93"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、本次招标不允许联合体投标</w:t>
      </w:r>
      <w:r>
        <w:rPr>
          <w:rFonts w:hint="eastAsia" w:ascii="宋体" w:hAnsi="宋体" w:eastAsia="宋体" w:cs="宋体"/>
          <w:color w:val="auto"/>
          <w:szCs w:val="21"/>
          <w:highlight w:val="none"/>
          <w:lang w:eastAsia="zh-CN"/>
        </w:rPr>
        <w:t>；</w:t>
      </w:r>
    </w:p>
    <w:p w14:paraId="1514D141">
      <w:pPr>
        <w:snapToGrid w:val="0"/>
        <w:spacing w:line="360" w:lineRule="auto"/>
        <w:ind w:right="-195" w:rightChars="-93"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、单位负责人为同一人或者存在直接控股、管理关系的不同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，不得参加同一合同项下的采购活动。 </w:t>
      </w:r>
    </w:p>
    <w:p w14:paraId="01DCD785">
      <w:pPr>
        <w:numPr>
          <w:ilvl w:val="0"/>
          <w:numId w:val="0"/>
        </w:numPr>
        <w:snapToGrid w:val="0"/>
        <w:spacing w:line="360" w:lineRule="auto"/>
        <w:ind w:right="-195" w:rightChars="-93"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2、供应商特定资格条件：</w:t>
      </w:r>
      <w:r>
        <w:rPr>
          <w:rStyle w:val="47"/>
          <w:rFonts w:hint="eastAsia" w:ascii="宋体" w:hAnsi="宋体" w:cs="宋体"/>
          <w:b w:val="0"/>
          <w:bCs w:val="0"/>
          <w:i w:val="0"/>
          <w:caps w:val="0"/>
          <w:color w:val="auto"/>
          <w:spacing w:val="0"/>
          <w:sz w:val="21"/>
          <w:szCs w:val="21"/>
          <w:highlight w:val="none"/>
          <w:shd w:val="clear" w:fill="FFFFFF"/>
          <w:lang w:val="en-US" w:eastAsia="zh-CN"/>
        </w:rPr>
        <w:t>无</w:t>
      </w:r>
      <w:r>
        <w:rPr>
          <w:rFonts w:hint="eastAsia" w:ascii="宋体" w:hAnsi="宋体" w:eastAsia="宋体" w:cs="宋体"/>
          <w:b/>
          <w:bCs/>
          <w:color w:val="auto"/>
          <w:szCs w:val="21"/>
          <w:highlight w:val="none"/>
          <w:lang w:val="en-US" w:eastAsia="zh-CN"/>
        </w:rPr>
        <w:t>。</w:t>
      </w:r>
    </w:p>
    <w:p w14:paraId="432F27CB">
      <w:pPr>
        <w:numPr>
          <w:ilvl w:val="0"/>
          <w:numId w:val="0"/>
        </w:numPr>
        <w:snapToGrid w:val="0"/>
        <w:spacing w:line="360" w:lineRule="auto"/>
        <w:ind w:right="-195" w:rightChars="-93"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注：以上供应商资格条件中所需提供资格证明资料扫描件均为原件扫描件</w:t>
      </w:r>
    </w:p>
    <w:p w14:paraId="227396D6">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w:t>
      </w:r>
      <w:bookmarkEnd w:id="7"/>
      <w:r>
        <w:rPr>
          <w:rFonts w:hint="eastAsia" w:ascii="宋体" w:hAnsi="宋体" w:eastAsia="宋体" w:cs="宋体"/>
          <w:b/>
          <w:color w:val="auto"/>
          <w:szCs w:val="21"/>
          <w:highlight w:val="none"/>
        </w:rPr>
        <w:t>磋商文件的获取</w:t>
      </w:r>
    </w:p>
    <w:p w14:paraId="2E20308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bookmarkStart w:id="8" w:name="_Toc123_WPSOffice_Level2"/>
      <w:r>
        <w:rPr>
          <w:rFonts w:hint="eastAsia" w:ascii="宋体" w:hAnsi="宋体" w:eastAsia="宋体" w:cs="宋体"/>
          <w:color w:val="auto"/>
          <w:szCs w:val="21"/>
          <w:highlight w:val="none"/>
        </w:rPr>
        <w:t>凡有意参加投标者，请于</w:t>
      </w:r>
      <w:r>
        <w:rPr>
          <w:rFonts w:hint="eastAsia" w:ascii="宋体" w:hAnsi="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日至</w:t>
      </w:r>
      <w:r>
        <w:rPr>
          <w:rFonts w:hint="eastAsia" w:ascii="宋体" w:hAnsi="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月  日</w:t>
      </w:r>
      <w:r>
        <w:rPr>
          <w:rFonts w:hint="eastAsia" w:ascii="宋体" w:hAnsi="宋体" w:eastAsia="宋体" w:cs="宋体"/>
          <w:color w:val="auto"/>
          <w:szCs w:val="21"/>
          <w:highlight w:val="none"/>
        </w:rPr>
        <w:t>17:00前（北京时间，下同）, 登录《长沙水业集团电子招采平台》（http://cg.supplywater.com/）下载磋商文件（格式为PCGZ）。通过网络下载，其磋商文件与书面文件具有同等法律效力。</w:t>
      </w:r>
    </w:p>
    <w:p w14:paraId="1A33C40F">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w:t>
      </w:r>
      <w:bookmarkEnd w:id="8"/>
      <w:r>
        <w:rPr>
          <w:rFonts w:hint="eastAsia" w:ascii="宋体" w:hAnsi="宋体" w:eastAsia="宋体" w:cs="宋体"/>
          <w:b/>
          <w:color w:val="auto"/>
          <w:szCs w:val="21"/>
          <w:highlight w:val="none"/>
        </w:rPr>
        <w:t>响应文件的递交</w:t>
      </w:r>
    </w:p>
    <w:p w14:paraId="771D8AC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bookmarkStart w:id="9" w:name="_Toc20230_WPSOffice_Level2"/>
      <w:r>
        <w:rPr>
          <w:rFonts w:hint="eastAsia" w:ascii="宋体" w:hAnsi="宋体" w:eastAsia="宋体" w:cs="宋体"/>
          <w:color w:val="auto"/>
          <w:szCs w:val="21"/>
          <w:highlight w:val="none"/>
        </w:rPr>
        <w:t>响应文件递交的截止时间（投标截止时间，下同）及开标时间为</w:t>
      </w:r>
      <w:r>
        <w:rPr>
          <w:rFonts w:hint="eastAsia" w:ascii="宋体" w:hAnsi="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月  日14</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分（北京时间），投标文件递交网址：《长沙水业集团电子招采平台》（http://cg.supplywater.com/），开标地址：《长沙水业集团电子招采平台》（http://cg.supplywater.com/），采用不见面网上开标。</w:t>
      </w:r>
    </w:p>
    <w:p w14:paraId="5D306B3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电子投标文件的解密截止时间为</w:t>
      </w:r>
      <w:r>
        <w:rPr>
          <w:rFonts w:hint="eastAsia" w:ascii="宋体" w:hAnsi="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月  日14</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 xml:space="preserve"> 50 </w:t>
      </w:r>
      <w:r>
        <w:rPr>
          <w:rFonts w:hint="eastAsia" w:ascii="宋体" w:hAnsi="宋体" w:eastAsia="宋体" w:cs="宋体"/>
          <w:color w:val="auto"/>
          <w:szCs w:val="21"/>
          <w:highlight w:val="none"/>
        </w:rPr>
        <w:t>分（投标截止时间后 20 分钟）。请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确保投标文件如期解密。在开标现场解密的，请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自备解密电脑和网络。</w:t>
      </w:r>
    </w:p>
    <w:bookmarkEnd w:id="9"/>
    <w:p w14:paraId="6657E749">
      <w:pPr>
        <w:pStyle w:val="17"/>
        <w:spacing w:after="0" w:line="360" w:lineRule="auto"/>
        <w:ind w:right="0" w:rightChars="0"/>
        <w:rPr>
          <w:rFonts w:hint="eastAsia" w:ascii="宋体" w:hAnsi="宋体" w:cs="宋体"/>
          <w:b/>
          <w:color w:val="auto"/>
          <w:kern w:val="2"/>
          <w:sz w:val="21"/>
          <w:szCs w:val="21"/>
          <w:highlight w:val="none"/>
        </w:rPr>
      </w:pPr>
      <w:bookmarkStart w:id="10" w:name="_Toc18270_WPSOffice_Level1"/>
      <w:r>
        <w:rPr>
          <w:rFonts w:hint="eastAsia" w:ascii="宋体" w:hAnsi="宋体" w:cs="宋体"/>
          <w:b/>
          <w:color w:val="auto"/>
          <w:kern w:val="2"/>
          <w:sz w:val="21"/>
          <w:szCs w:val="21"/>
          <w:highlight w:val="none"/>
          <w:lang w:eastAsia="zh-CN"/>
        </w:rPr>
        <w:t>五</w:t>
      </w:r>
      <w:r>
        <w:rPr>
          <w:rFonts w:hint="eastAsia" w:ascii="宋体" w:hAnsi="宋体" w:cs="宋体"/>
          <w:b/>
          <w:color w:val="auto"/>
          <w:kern w:val="2"/>
          <w:sz w:val="21"/>
          <w:szCs w:val="21"/>
          <w:highlight w:val="none"/>
        </w:rPr>
        <w:t>、其他</w:t>
      </w:r>
    </w:p>
    <w:p w14:paraId="176DB7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1、本次招标项目采用电子化招投标，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在投标前须在《长沙水业电子交易平台》进行注册和登录。</w:t>
      </w:r>
    </w:p>
    <w:p w14:paraId="0779797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2、上传电子投标文件、开标签到和文件解密需要使用CA，要求电脑具备ie浏览器和安装CA驱动。</w:t>
      </w:r>
    </w:p>
    <w:p w14:paraId="631DE5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长沙水业集团电子招采平台》根据《关于进一步规范电子招标投标系统建设运营的通知》的要求以及所提供的平台服务向投标供应商收取平台使用服务费，投标供应商在缴纳平台服务费后才能上传投标文件。</w:t>
      </w:r>
    </w:p>
    <w:p w14:paraId="7CC1B05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响应文件制作：登录平台，在工具下载-编制工具下载中下载湖南CA驱动、iSignature签章软件、长沙水业电子投标响应文件制作工具（通用版），安装后使用工具编制投标文件，用长沙水业集团电子招采平台的数字证书进行加密、电子签章，再上传到平台。</w:t>
      </w:r>
    </w:p>
    <w:p w14:paraId="5A0A5B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5、开标步骤：</w:t>
      </w:r>
    </w:p>
    <w:p w14:paraId="4E23A0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点击投标业务管理—我的项目—更多—在线开标—进入开标大厅——点击解密——解密完成——确认开标结果——开标完成。</w:t>
      </w:r>
    </w:p>
    <w:p w14:paraId="17C827F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注：需在解密截止时间前自行用CA进行解密，请确认电脑网络正常，驱动软件都安装到位，在规定时间完成解密操作。</w:t>
      </w:r>
    </w:p>
    <w:p w14:paraId="42B73A1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6、投标需办理水业电子招投标平台的电子签章，本次投标需要的电子签章有：公章，办理方式为登录水业平台，点击左侧菜单，CA申请，提交材料扫码缴费后顺丰寄出。</w:t>
      </w:r>
    </w:p>
    <w:p w14:paraId="7F5E1DA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注：供应商必须办理电子公章，除公章外的其他投标响应文件要求的签章可以经签章后扫描上传。</w:t>
      </w:r>
    </w:p>
    <w:p w14:paraId="743CC3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7、水业电子投标整体流程简述：</w:t>
      </w:r>
    </w:p>
    <w:p w14:paraId="3ADC49B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册水业平台账户（免费）——点击招标公告报名（免费）——下载招标文件（免费）——下载投标文件编制工具打开招标文件（免费）——确定要投标需办理电子公章（268元）——编制投标文件——上传投标文件（需缴纳398元平台服务费）——开标当天解密——确认开标结果完成投标——等待发布中标结果公告</w:t>
      </w:r>
    </w:p>
    <w:p w14:paraId="2F5874A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8、《长沙水业集团电子招采平台》客服人员联系方式：</w:t>
      </w:r>
    </w:p>
    <w:p w14:paraId="196467A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联系电话：0731-89706069</w:t>
      </w:r>
    </w:p>
    <w:p w14:paraId="58F4CD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客服微信：</w:t>
      </w:r>
    </w:p>
    <w:p w14:paraId="7EDE7947">
      <w:pPr>
        <w:adjustRightInd w:val="0"/>
        <w:snapToGrid w:val="0"/>
        <w:spacing w:line="360" w:lineRule="auto"/>
        <w:ind w:firstLine="420" w:firstLineChars="200"/>
        <w:rPr>
          <w:color w:val="auto"/>
          <w:highlight w:val="none"/>
        </w:rPr>
      </w:pPr>
      <w:r>
        <w:rPr>
          <w:rFonts w:hint="eastAsia"/>
          <w:color w:val="auto"/>
          <w:highlight w:val="none"/>
          <w:lang w:eastAsia="zh-CN"/>
        </w:rPr>
        <w:drawing>
          <wp:inline distT="0" distB="0" distL="114300" distR="114300">
            <wp:extent cx="1918970" cy="1822450"/>
            <wp:effectExtent l="0" t="0" r="5080" b="6350"/>
            <wp:docPr id="4" name="图片 4" descr="1753837886269019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3837886269019718"/>
                    <pic:cNvPicPr>
                      <a:picLocks noChangeAspect="1"/>
                    </pic:cNvPicPr>
                  </pic:nvPicPr>
                  <pic:blipFill>
                    <a:blip r:embed="rId10"/>
                    <a:stretch>
                      <a:fillRect/>
                    </a:stretch>
                  </pic:blipFill>
                  <pic:spPr>
                    <a:xfrm>
                      <a:off x="0" y="0"/>
                      <a:ext cx="1918970" cy="1822450"/>
                    </a:xfrm>
                    <a:prstGeom prst="rect">
                      <a:avLst/>
                    </a:prstGeom>
                  </pic:spPr>
                </pic:pic>
              </a:graphicData>
            </a:graphic>
          </wp:inline>
        </w:drawing>
      </w:r>
    </w:p>
    <w:p w14:paraId="502F4F93">
      <w:pPr>
        <w:pStyle w:val="17"/>
        <w:wordWrap w:val="0"/>
        <w:spacing w:after="0" w:line="360" w:lineRule="auto"/>
        <w:ind w:firstLine="420" w:firstLineChars="200"/>
        <w:rPr>
          <w:rFonts w:ascii="宋体" w:hAnsi="宋体" w:cs="宋体"/>
          <w:b/>
          <w:bCs/>
          <w:color w:val="auto"/>
          <w:kern w:val="2"/>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参与本项目供应商，如存在串标围标等违反招投标法律法规政策和本采购文件禁止的行为，则该供应商除应承担法律责任外，有交投标保证金的，保证金将不予退还，项目无投标保证金的，应各自按照项目预算金额或上限值的2%分别向采购人支付赔偿金；给采购人造成其他直接或间接损失的，涉事供应商还应全额赔偿。参与本项目供应商均视为认可该条款并承诺严格遵照执行。</w:t>
      </w:r>
    </w:p>
    <w:p w14:paraId="46BA2F56">
      <w:pPr>
        <w:widowControl/>
        <w:adjustRightInd w:val="0"/>
        <w:snapToGrid w:val="0"/>
        <w:spacing w:line="360" w:lineRule="auto"/>
        <w:jc w:val="left"/>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六、</w:t>
      </w:r>
      <w:r>
        <w:rPr>
          <w:rFonts w:hint="eastAsia" w:ascii="宋体" w:hAnsi="宋体" w:eastAsia="宋体" w:cs="宋体"/>
          <w:b/>
          <w:bCs/>
          <w:color w:val="auto"/>
          <w:szCs w:val="21"/>
          <w:highlight w:val="none"/>
        </w:rPr>
        <w:t>采购项目联系人姓名和电话：</w:t>
      </w:r>
    </w:p>
    <w:p w14:paraId="6F770C14">
      <w:pPr>
        <w:adjustRightInd w:val="0"/>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 购 人：</w:t>
      </w:r>
      <w:r>
        <w:rPr>
          <w:rFonts w:hint="eastAsia" w:ascii="宋体" w:hAnsi="宋体" w:cs="宋体"/>
          <w:color w:val="auto"/>
          <w:szCs w:val="21"/>
          <w:highlight w:val="none"/>
          <w:u w:val="single"/>
          <w:shd w:val="clear" w:color="auto" w:fill="FFFFFF"/>
          <w:lang w:eastAsia="zh-CN"/>
        </w:rPr>
        <w:t>长沙市排水有限责任公司</w:t>
      </w:r>
      <w:r>
        <w:rPr>
          <w:rFonts w:hint="eastAsia" w:ascii="宋体" w:hAnsi="宋体" w:eastAsia="宋体" w:cs="宋体"/>
          <w:b/>
          <w:color w:val="auto"/>
          <w:szCs w:val="21"/>
          <w:highlight w:val="none"/>
        </w:rPr>
        <w:t xml:space="preserve">  </w:t>
      </w:r>
    </w:p>
    <w:p w14:paraId="5159D04D">
      <w:pPr>
        <w:adjustRightInd w:val="0"/>
        <w:snapToGrid w:val="0"/>
        <w:spacing w:line="360" w:lineRule="auto"/>
        <w:ind w:firstLine="420" w:firstLineChars="200"/>
        <w:outlineLvl w:val="9"/>
        <w:rPr>
          <w:rFonts w:hint="eastAsia" w:ascii="宋体" w:hAnsi="宋体" w:cs="宋体"/>
          <w:color w:val="auto"/>
          <w:szCs w:val="21"/>
          <w:highlight w:val="none"/>
          <w:u w:val="singl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u w:val="single"/>
          <w:lang w:eastAsia="zh-CN"/>
        </w:rPr>
        <w:t>长沙市雨花区黎托乡花桥村四组</w:t>
      </w:r>
    </w:p>
    <w:p w14:paraId="415EF464">
      <w:pPr>
        <w:adjustRightInd w:val="0"/>
        <w:snapToGrid w:val="0"/>
        <w:spacing w:line="360" w:lineRule="auto"/>
        <w:ind w:right="0" w:rightChars="0" w:firstLine="420" w:firstLineChars="200"/>
        <w:rPr>
          <w:rFonts w:hint="default" w:ascii="宋体" w:hAnsi="宋体" w:eastAsia="宋体" w:cs="宋体"/>
          <w:color w:val="auto"/>
          <w:szCs w:val="21"/>
          <w:highlight w:val="none"/>
          <w:u w:val="single"/>
          <w:shd w:val="clear" w:color="auto" w:fill="FFFFFF"/>
          <w:lang w:val="en-US" w:eastAsia="zh-CN"/>
        </w:rPr>
      </w:pPr>
      <w:r>
        <w:rPr>
          <w:rFonts w:hint="eastAsia" w:ascii="宋体" w:hAnsi="宋体" w:cs="宋体"/>
          <w:color w:val="auto"/>
          <w:szCs w:val="21"/>
          <w:highlight w:val="none"/>
          <w:shd w:val="clear" w:color="auto" w:fill="FFFFFF"/>
        </w:rPr>
        <w:t>联</w:t>
      </w:r>
      <w:r>
        <w:rPr>
          <w:rFonts w:hint="eastAsia" w:ascii="宋体" w:hAnsi="宋体" w:cs="宋体"/>
          <w:color w:val="auto"/>
          <w:szCs w:val="21"/>
          <w:highlight w:val="none"/>
          <w:shd w:val="clear" w:color="auto" w:fill="FFFFFF"/>
          <w:lang w:val="en-US" w:eastAsia="zh-CN"/>
        </w:rPr>
        <w:t xml:space="preserve"> </w:t>
      </w:r>
      <w:r>
        <w:rPr>
          <w:rFonts w:hint="eastAsia" w:ascii="宋体" w:hAnsi="宋体" w:cs="宋体"/>
          <w:color w:val="auto"/>
          <w:szCs w:val="21"/>
          <w:highlight w:val="none"/>
          <w:shd w:val="clear" w:color="auto" w:fill="FFFFFF"/>
        </w:rPr>
        <w:t>系</w:t>
      </w:r>
      <w:r>
        <w:rPr>
          <w:rFonts w:hint="eastAsia" w:ascii="宋体" w:hAnsi="宋体" w:cs="宋体"/>
          <w:color w:val="auto"/>
          <w:szCs w:val="21"/>
          <w:highlight w:val="none"/>
          <w:shd w:val="clear" w:color="auto" w:fill="FFFFFF"/>
          <w:lang w:val="en-US" w:eastAsia="zh-CN"/>
        </w:rPr>
        <w:t xml:space="preserve"> </w:t>
      </w:r>
      <w:r>
        <w:rPr>
          <w:rFonts w:hint="eastAsia" w:ascii="宋体" w:hAnsi="宋体" w:cs="宋体"/>
          <w:color w:val="auto"/>
          <w:szCs w:val="21"/>
          <w:highlight w:val="none"/>
          <w:shd w:val="clear" w:color="auto" w:fill="FFFFFF"/>
        </w:rPr>
        <w:t>人：</w:t>
      </w:r>
      <w:r>
        <w:rPr>
          <w:rFonts w:hint="eastAsia" w:ascii="宋体" w:hAnsi="宋体" w:cs="宋体"/>
          <w:color w:val="auto"/>
          <w:szCs w:val="21"/>
          <w:highlight w:val="none"/>
          <w:u w:val="single"/>
          <w:shd w:val="clear" w:color="auto" w:fill="FFFFFF"/>
          <w:lang w:val="en-US" w:eastAsia="zh-CN"/>
        </w:rPr>
        <w:t>易先生</w:t>
      </w:r>
    </w:p>
    <w:p w14:paraId="497858E9">
      <w:pPr>
        <w:pStyle w:val="22"/>
        <w:adjustRightInd w:val="0"/>
        <w:snapToGrid w:val="0"/>
        <w:spacing w:line="360" w:lineRule="auto"/>
        <w:ind w:firstLine="422" w:firstLineChars="200"/>
        <w:jc w:val="left"/>
        <w:outlineLvl w:val="9"/>
        <w:rPr>
          <w:rFonts w:hint="eastAsia" w:ascii="宋体" w:hAnsi="宋体" w:eastAsia="宋体" w:cs="宋体"/>
          <w:color w:val="auto"/>
          <w:highlight w:val="none"/>
          <w:lang w:eastAsia="zh-CN"/>
        </w:rPr>
      </w:pPr>
      <w:r>
        <w:rPr>
          <w:rFonts w:hint="eastAsia" w:ascii="宋体" w:hAnsi="宋体" w:eastAsia="宋体" w:cs="宋体"/>
          <w:b/>
          <w:color w:val="auto"/>
          <w:highlight w:val="none"/>
        </w:rPr>
        <w:t>采购代理机构</w:t>
      </w:r>
      <w:r>
        <w:rPr>
          <w:rFonts w:hint="eastAsia" w:ascii="宋体" w:hAnsi="宋体" w:eastAsia="宋体" w:cs="宋体"/>
          <w:bCs/>
          <w:color w:val="auto"/>
          <w:highlight w:val="none"/>
        </w:rPr>
        <w:t>：</w:t>
      </w:r>
      <w:r>
        <w:rPr>
          <w:rFonts w:hint="eastAsia" w:hAnsi="宋体" w:cs="宋体"/>
          <w:color w:val="auto"/>
          <w:highlight w:val="none"/>
          <w:u w:val="single"/>
          <w:shd w:val="clear" w:color="auto" w:fill="FFFFFF"/>
          <w:lang w:eastAsia="zh-CN"/>
        </w:rPr>
        <w:t>天鉴国际工程管理有限公司</w:t>
      </w:r>
    </w:p>
    <w:p w14:paraId="491F1B92">
      <w:pPr>
        <w:adjustRightInd w:val="0"/>
        <w:snapToGrid w:val="0"/>
        <w:spacing w:line="360" w:lineRule="auto"/>
        <w:ind w:firstLine="420" w:firstLineChars="200"/>
        <w:outlineLvl w:val="9"/>
        <w:rPr>
          <w:rFonts w:hint="eastAsia" w:ascii="宋体" w:hAnsi="宋体" w:eastAsia="宋体" w:cs="宋体"/>
          <w:color w:val="auto"/>
          <w:szCs w:val="21"/>
          <w:highlight w:val="none"/>
          <w:u w:val="single"/>
          <w:shd w:val="clear" w:color="auto" w:fill="FFFFFF"/>
          <w:lang w:eastAsia="zh-CN"/>
        </w:rPr>
      </w:pPr>
      <w:r>
        <w:rPr>
          <w:rFonts w:hint="eastAsia" w:ascii="宋体" w:hAnsi="宋体" w:eastAsia="宋体" w:cs="宋体"/>
          <w:bCs/>
          <w:color w:val="auto"/>
          <w:szCs w:val="21"/>
          <w:highlight w:val="none"/>
        </w:rPr>
        <w:t>电    话：</w:t>
      </w:r>
      <w:r>
        <w:rPr>
          <w:rFonts w:hint="eastAsia" w:ascii="宋体" w:hAnsi="宋体" w:eastAsia="宋体" w:cs="宋体"/>
          <w:color w:val="auto"/>
          <w:szCs w:val="21"/>
          <w:highlight w:val="none"/>
          <w:u w:val="single"/>
          <w:shd w:val="clear" w:color="auto" w:fill="FFFFFF"/>
        </w:rPr>
        <w:t>0731-</w:t>
      </w:r>
      <w:r>
        <w:rPr>
          <w:rFonts w:hint="eastAsia" w:ascii="宋体" w:hAnsi="宋体" w:cs="宋体"/>
          <w:color w:val="auto"/>
          <w:szCs w:val="21"/>
          <w:highlight w:val="none"/>
          <w:u w:val="single"/>
          <w:shd w:val="clear" w:color="auto" w:fill="FFFFFF"/>
          <w:lang w:eastAsia="zh-CN"/>
        </w:rPr>
        <w:t>85235479</w:t>
      </w:r>
    </w:p>
    <w:p w14:paraId="051B9907">
      <w:pPr>
        <w:adjustRightInd w:val="0"/>
        <w:snapToGrid w:val="0"/>
        <w:spacing w:line="360" w:lineRule="auto"/>
        <w:ind w:firstLine="420" w:firstLineChars="200"/>
        <w:outlineLvl w:val="9"/>
        <w:rPr>
          <w:rFonts w:hint="default" w:ascii="宋体" w:hAnsi="宋体" w:eastAsia="宋体" w:cs="宋体"/>
          <w:bCs/>
          <w:color w:val="auto"/>
          <w:szCs w:val="21"/>
          <w:highlight w:val="none"/>
          <w:lang w:val="en-US"/>
        </w:rPr>
      </w:pPr>
      <w:r>
        <w:rPr>
          <w:rFonts w:hint="eastAsia" w:ascii="宋体" w:hAnsi="宋体" w:eastAsia="宋体" w:cs="宋体"/>
          <w:bCs/>
          <w:color w:val="auto"/>
          <w:szCs w:val="21"/>
          <w:highlight w:val="none"/>
        </w:rPr>
        <w:t>联 系 人：</w:t>
      </w:r>
      <w:r>
        <w:rPr>
          <w:rFonts w:hint="eastAsia" w:ascii="宋体" w:hAnsi="宋体" w:cs="宋体"/>
          <w:bCs/>
          <w:color w:val="auto"/>
          <w:szCs w:val="21"/>
          <w:highlight w:val="none"/>
          <w:u w:val="single"/>
          <w:lang w:val="en-US" w:eastAsia="zh-CN"/>
        </w:rPr>
        <w:t>刘丽花、常添乐、易子杰、刘展</w:t>
      </w:r>
    </w:p>
    <w:p w14:paraId="42C57B87">
      <w:pPr>
        <w:adjustRightInd w:val="0"/>
        <w:snapToGrid w:val="0"/>
        <w:spacing w:line="360" w:lineRule="auto"/>
        <w:ind w:firstLine="420" w:firstLineChars="200"/>
        <w:outlineLvl w:val="9"/>
        <w:rPr>
          <w:rFonts w:hint="default" w:ascii="宋体" w:hAnsi="宋体" w:eastAsia="宋体" w:cs="宋体"/>
          <w:color w:val="auto"/>
          <w:szCs w:val="21"/>
          <w:highlight w:val="none"/>
          <w:u w:val="single"/>
          <w:shd w:val="clear" w:color="auto" w:fill="FFFFFF"/>
          <w:lang w:val="en-US" w:eastAsia="zh-CN"/>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湖南省长沙市</w:t>
      </w:r>
      <w:r>
        <w:rPr>
          <w:rFonts w:hint="eastAsia" w:ascii="宋体" w:hAnsi="宋体" w:cs="宋体"/>
          <w:bCs/>
          <w:color w:val="auto"/>
          <w:szCs w:val="21"/>
          <w:highlight w:val="none"/>
          <w:u w:val="single"/>
          <w:lang w:val="en-US" w:eastAsia="zh-CN"/>
        </w:rPr>
        <w:t>雨花区金海路128号</w:t>
      </w:r>
    </w:p>
    <w:p w14:paraId="55A3F6D5">
      <w:pPr>
        <w:pStyle w:val="43"/>
        <w:rPr>
          <w:rFonts w:hint="eastAsia" w:ascii="宋体" w:hAnsi="宋体" w:eastAsia="宋体" w:cs="宋体"/>
          <w:color w:val="auto"/>
          <w:szCs w:val="21"/>
          <w:highlight w:val="none"/>
          <w:u w:val="single"/>
          <w:shd w:val="clear" w:color="auto" w:fill="FFFFFF"/>
        </w:rPr>
      </w:pPr>
    </w:p>
    <w:p w14:paraId="646F7F6D">
      <w:pPr>
        <w:rPr>
          <w:rFonts w:hint="eastAsia" w:ascii="宋体" w:hAnsi="宋体" w:eastAsia="宋体" w:cs="宋体"/>
          <w:color w:val="auto"/>
          <w:szCs w:val="21"/>
          <w:highlight w:val="none"/>
          <w:u w:val="single"/>
          <w:shd w:val="clear" w:color="auto" w:fill="FFFFFF"/>
        </w:rPr>
      </w:pPr>
    </w:p>
    <w:p w14:paraId="482C2C7B">
      <w:pPr>
        <w:rPr>
          <w:rFonts w:hint="eastAsia" w:ascii="宋体" w:hAnsi="宋体" w:eastAsia="宋体" w:cs="宋体"/>
          <w:b/>
          <w:bCs/>
          <w:color w:val="auto"/>
          <w:highlight w:val="none"/>
          <w:lang w:val="en-US" w:eastAsia="zh-CN"/>
        </w:rPr>
      </w:pPr>
    </w:p>
    <w:p w14:paraId="31D86D4A">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11" w:name="_Toc28500"/>
      <w:bookmarkStart w:id="12" w:name="_Toc25393"/>
      <w:r>
        <w:rPr>
          <w:rFonts w:hint="eastAsia" w:ascii="宋体" w:hAnsi="宋体" w:eastAsia="宋体" w:cs="宋体"/>
          <w:b/>
          <w:color w:val="auto"/>
          <w:sz w:val="32"/>
          <w:szCs w:val="32"/>
          <w:highlight w:val="none"/>
        </w:rPr>
        <w:t>第二章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磋商须知</w:t>
      </w:r>
      <w:bookmarkEnd w:id="10"/>
      <w:bookmarkEnd w:id="11"/>
      <w:bookmarkEnd w:id="12"/>
    </w:p>
    <w:p w14:paraId="0C46EDCF">
      <w:pPr>
        <w:pStyle w:val="22"/>
        <w:outlineLvl w:val="9"/>
        <w:rPr>
          <w:rFonts w:hint="eastAsia" w:ascii="宋体" w:hAnsi="宋体" w:eastAsia="宋体" w:cs="宋体"/>
          <w:b/>
          <w:color w:val="auto"/>
          <w:sz w:val="24"/>
          <w:szCs w:val="24"/>
          <w:highlight w:val="none"/>
        </w:rPr>
      </w:pPr>
      <w:bookmarkStart w:id="13" w:name="_Toc31287"/>
      <w:bookmarkStart w:id="14" w:name="_Toc16736_WPSOffice_Level2"/>
      <w:bookmarkStart w:id="15" w:name="_Toc8418"/>
      <w:r>
        <w:rPr>
          <w:rFonts w:hint="eastAsia" w:ascii="宋体" w:hAnsi="宋体" w:eastAsia="宋体" w:cs="宋体"/>
          <w:b/>
          <w:color w:val="auto"/>
          <w:sz w:val="24"/>
          <w:szCs w:val="24"/>
          <w:highlight w:val="none"/>
        </w:rPr>
        <w:t>磋商须知前附表</w:t>
      </w:r>
      <w:bookmarkEnd w:id="13"/>
      <w:bookmarkEnd w:id="14"/>
      <w:bookmarkEnd w:id="15"/>
    </w:p>
    <w:p w14:paraId="2739FE09">
      <w:pPr>
        <w:pStyle w:val="22"/>
        <w:rPr>
          <w:rFonts w:hint="eastAsia" w:ascii="宋体" w:hAnsi="宋体" w:eastAsia="宋体" w:cs="宋体"/>
          <w:color w:val="auto"/>
          <w:highlight w:val="none"/>
        </w:rPr>
      </w:pPr>
      <w:r>
        <w:rPr>
          <w:rFonts w:hint="eastAsia" w:ascii="宋体" w:hAnsi="宋体" w:eastAsia="宋体" w:cs="宋体"/>
          <w:color w:val="auto"/>
          <w:highlight w:val="none"/>
        </w:rPr>
        <w:t>注： 请在方框□内划√选择，在“条款号”内限选一项。（本项目采用的条款用“☑ ”标示）</w:t>
      </w:r>
    </w:p>
    <w:tbl>
      <w:tblPr>
        <w:tblStyle w:val="44"/>
        <w:tblW w:w="92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06"/>
        <w:gridCol w:w="1934"/>
        <w:gridCol w:w="5380"/>
      </w:tblGrid>
      <w:tr w14:paraId="2C89E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1906" w:type="dxa"/>
            <w:tcBorders>
              <w:top w:val="double" w:color="auto" w:sz="4" w:space="0"/>
              <w:left w:val="double" w:color="auto" w:sz="4" w:space="0"/>
              <w:bottom w:val="single" w:color="auto" w:sz="6" w:space="0"/>
              <w:right w:val="single" w:color="auto" w:sz="6" w:space="0"/>
            </w:tcBorders>
            <w:vAlign w:val="center"/>
          </w:tcPr>
          <w:p w14:paraId="6A68AD2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34" w:type="dxa"/>
            <w:tcBorders>
              <w:top w:val="double" w:color="auto" w:sz="4" w:space="0"/>
              <w:left w:val="single" w:color="auto" w:sz="6" w:space="0"/>
              <w:bottom w:val="single" w:color="auto" w:sz="6" w:space="0"/>
              <w:right w:val="single" w:color="auto" w:sz="6" w:space="0"/>
            </w:tcBorders>
            <w:vAlign w:val="center"/>
          </w:tcPr>
          <w:p w14:paraId="4182607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380" w:type="dxa"/>
            <w:tcBorders>
              <w:top w:val="double" w:color="auto" w:sz="4" w:space="0"/>
              <w:left w:val="single" w:color="auto" w:sz="6" w:space="0"/>
              <w:bottom w:val="single" w:color="auto" w:sz="6" w:space="0"/>
              <w:right w:val="double" w:color="auto" w:sz="4" w:space="0"/>
            </w:tcBorders>
            <w:vAlign w:val="center"/>
          </w:tcPr>
          <w:p w14:paraId="1966B43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14:paraId="7D523D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9220" w:type="dxa"/>
            <w:gridSpan w:val="3"/>
            <w:tcBorders>
              <w:top w:val="single" w:color="auto" w:sz="6" w:space="0"/>
              <w:left w:val="double" w:color="auto" w:sz="4" w:space="0"/>
              <w:bottom w:val="single" w:color="auto" w:sz="6" w:space="0"/>
              <w:right w:val="double" w:color="auto" w:sz="4" w:space="0"/>
            </w:tcBorders>
            <w:vAlign w:val="center"/>
          </w:tcPr>
          <w:p w14:paraId="62EA3D6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14:paraId="7D8440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3CDE952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第二章第1.1款</w:t>
            </w:r>
          </w:p>
        </w:tc>
        <w:tc>
          <w:tcPr>
            <w:tcW w:w="1934" w:type="dxa"/>
            <w:tcBorders>
              <w:top w:val="single" w:color="auto" w:sz="6" w:space="0"/>
              <w:left w:val="single" w:color="auto" w:sz="6" w:space="0"/>
              <w:bottom w:val="single" w:color="auto" w:sz="6" w:space="0"/>
              <w:right w:val="single" w:color="auto" w:sz="6" w:space="0"/>
            </w:tcBorders>
            <w:vAlign w:val="center"/>
          </w:tcPr>
          <w:p w14:paraId="4428C6D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5380" w:type="dxa"/>
            <w:tcBorders>
              <w:top w:val="single" w:color="auto" w:sz="6" w:space="0"/>
              <w:left w:val="single" w:color="auto" w:sz="6" w:space="0"/>
              <w:bottom w:val="single" w:color="auto" w:sz="6" w:space="0"/>
              <w:right w:val="double" w:color="auto" w:sz="4" w:space="0"/>
            </w:tcBorders>
            <w:vAlign w:val="center"/>
          </w:tcPr>
          <w:p w14:paraId="10DDB99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u w:val="single"/>
                <w:lang w:val="en-US" w:eastAsia="zh-CN"/>
              </w:rPr>
              <w:t>长沙市排水有限责任公司2026年进出水在线仪表运营维护服务项目</w:t>
            </w:r>
          </w:p>
        </w:tc>
      </w:tr>
      <w:tr w14:paraId="6B02B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24BE8B1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第二章第2.1款</w:t>
            </w:r>
          </w:p>
        </w:tc>
        <w:tc>
          <w:tcPr>
            <w:tcW w:w="1934" w:type="dxa"/>
            <w:tcBorders>
              <w:top w:val="single" w:color="auto" w:sz="6" w:space="0"/>
              <w:left w:val="single" w:color="auto" w:sz="6" w:space="0"/>
              <w:bottom w:val="single" w:color="auto" w:sz="6" w:space="0"/>
              <w:right w:val="single" w:color="auto" w:sz="6" w:space="0"/>
            </w:tcBorders>
            <w:vAlign w:val="center"/>
          </w:tcPr>
          <w:p w14:paraId="3B1CEB8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380" w:type="dxa"/>
            <w:tcBorders>
              <w:top w:val="single" w:color="auto" w:sz="6" w:space="0"/>
              <w:left w:val="single" w:color="auto" w:sz="6" w:space="0"/>
              <w:bottom w:val="single" w:color="auto" w:sz="6" w:space="0"/>
              <w:right w:val="double" w:color="auto" w:sz="4" w:space="0"/>
            </w:tcBorders>
            <w:vAlign w:val="center"/>
          </w:tcPr>
          <w:p w14:paraId="5E2CEB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cs="宋体"/>
                <w:color w:val="auto"/>
                <w:szCs w:val="21"/>
                <w:highlight w:val="none"/>
                <w:u w:val="single"/>
                <w:shd w:val="clear" w:color="auto" w:fill="FFFFFF"/>
                <w:lang w:eastAsia="zh-CN"/>
              </w:rPr>
              <w:t>长沙市排水有限责任公司</w:t>
            </w:r>
            <w:r>
              <w:rPr>
                <w:rFonts w:hint="eastAsia" w:ascii="宋体" w:hAnsi="宋体" w:eastAsia="宋体" w:cs="宋体"/>
                <w:color w:val="auto"/>
                <w:szCs w:val="21"/>
                <w:highlight w:val="none"/>
              </w:rPr>
              <w:t xml:space="preserve">                                                   </w:t>
            </w:r>
          </w:p>
          <w:p w14:paraId="403E3B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default"/>
                <w:color w:val="auto"/>
                <w:highlight w:val="none"/>
                <w:lang w:val="en-US" w:eastAsia="zh-CN"/>
              </w:rPr>
            </w:pPr>
            <w:r>
              <w:rPr>
                <w:rFonts w:hint="eastAsia" w:ascii="宋体" w:hAnsi="宋体" w:cs="宋体"/>
                <w:color w:val="auto"/>
                <w:szCs w:val="21"/>
                <w:highlight w:val="none"/>
                <w:u w:val="none"/>
                <w:shd w:val="clear" w:color="auto" w:fill="FFFFFF"/>
                <w:lang w:eastAsia="zh-CN"/>
              </w:rPr>
              <w:t>地    址：</w:t>
            </w:r>
            <w:r>
              <w:rPr>
                <w:rFonts w:hint="eastAsia" w:ascii="宋体" w:hAnsi="宋体" w:cs="宋体"/>
                <w:color w:val="auto"/>
                <w:szCs w:val="21"/>
                <w:highlight w:val="none"/>
                <w:u w:val="single"/>
                <w:shd w:val="clear" w:color="auto" w:fill="FFFFFF"/>
                <w:lang w:val="en-US" w:eastAsia="zh-CN"/>
              </w:rPr>
              <w:t>长沙市雨花区黎托乡花桥村四组</w:t>
            </w:r>
          </w:p>
        </w:tc>
      </w:tr>
      <w:tr w14:paraId="461D56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5"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630EE29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第二章第2.2款</w:t>
            </w:r>
          </w:p>
        </w:tc>
        <w:tc>
          <w:tcPr>
            <w:tcW w:w="1934" w:type="dxa"/>
            <w:tcBorders>
              <w:top w:val="single" w:color="auto" w:sz="6" w:space="0"/>
              <w:left w:val="single" w:color="auto" w:sz="6" w:space="0"/>
              <w:bottom w:val="single" w:color="auto" w:sz="6" w:space="0"/>
              <w:right w:val="single" w:color="auto" w:sz="6" w:space="0"/>
            </w:tcBorders>
            <w:vAlign w:val="center"/>
          </w:tcPr>
          <w:p w14:paraId="4DD2D6E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5380" w:type="dxa"/>
            <w:tcBorders>
              <w:top w:val="single" w:color="auto" w:sz="6" w:space="0"/>
              <w:left w:val="single" w:color="auto" w:sz="6" w:space="0"/>
              <w:bottom w:val="single" w:color="auto" w:sz="6" w:space="0"/>
              <w:right w:val="double" w:color="auto" w:sz="4" w:space="0"/>
            </w:tcBorders>
            <w:vAlign w:val="center"/>
          </w:tcPr>
          <w:p w14:paraId="0AB0881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cs="宋体"/>
                <w:color w:val="auto"/>
                <w:szCs w:val="21"/>
                <w:highlight w:val="none"/>
                <w:u w:val="single"/>
                <w:shd w:val="clear" w:color="auto" w:fill="FFFFFF"/>
                <w:lang w:eastAsia="zh-CN"/>
              </w:rPr>
              <w:t>天鉴国际工程管理有限公司</w:t>
            </w:r>
            <w:r>
              <w:rPr>
                <w:rFonts w:hint="eastAsia" w:ascii="宋体" w:hAnsi="宋体" w:eastAsia="宋体" w:cs="宋体"/>
                <w:color w:val="auto"/>
                <w:szCs w:val="21"/>
                <w:highlight w:val="none"/>
              </w:rPr>
              <w:t xml:space="preserve">                                                                                            </w:t>
            </w:r>
          </w:p>
          <w:p w14:paraId="44A86E6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u w:val="single"/>
                <w:shd w:val="clear" w:color="auto" w:fill="FFFFFF"/>
              </w:rPr>
            </w:pPr>
            <w:r>
              <w:rPr>
                <w:rFonts w:hint="eastAsia" w:ascii="宋体" w:hAnsi="宋体" w:eastAsia="宋体" w:cs="宋体"/>
                <w:color w:val="auto"/>
                <w:szCs w:val="21"/>
                <w:highlight w:val="none"/>
              </w:rPr>
              <w:t>地    址：</w:t>
            </w:r>
            <w:r>
              <w:rPr>
                <w:rFonts w:hint="eastAsia" w:ascii="宋体" w:hAnsi="宋体" w:eastAsia="宋体" w:cs="宋体"/>
                <w:bCs/>
                <w:color w:val="auto"/>
                <w:szCs w:val="21"/>
                <w:highlight w:val="none"/>
                <w:u w:val="single"/>
              </w:rPr>
              <w:t>湖南省长沙市</w:t>
            </w:r>
            <w:r>
              <w:rPr>
                <w:rFonts w:hint="eastAsia" w:ascii="宋体" w:hAnsi="宋体" w:cs="宋体"/>
                <w:bCs/>
                <w:color w:val="auto"/>
                <w:szCs w:val="21"/>
                <w:highlight w:val="none"/>
                <w:u w:val="single"/>
                <w:lang w:val="en-US" w:eastAsia="zh-CN"/>
              </w:rPr>
              <w:t>雨花区金海路128号</w:t>
            </w:r>
          </w:p>
          <w:p w14:paraId="144D5A40">
            <w:pPr>
              <w:keepNext w:val="0"/>
              <w:keepLines w:val="0"/>
              <w:suppressLineNumbers w:val="0"/>
              <w:adjustRightInd w:val="0"/>
              <w:snapToGrid w:val="0"/>
              <w:spacing w:before="0" w:beforeAutospacing="0" w:after="0" w:afterAutospacing="0" w:line="360" w:lineRule="auto"/>
              <w:ind w:left="0" w:right="0"/>
              <w:outlineLvl w:val="9"/>
              <w:rPr>
                <w:rFonts w:hint="eastAsia" w:ascii="宋体" w:hAnsi="宋体" w:eastAsia="宋体" w:cs="宋体"/>
                <w:color w:val="auto"/>
                <w:szCs w:val="21"/>
                <w:highlight w:val="none"/>
                <w:u w:val="single"/>
                <w:shd w:val="clear" w:color="auto" w:fill="FFFFFF"/>
                <w:lang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shd w:val="clear" w:color="auto" w:fill="FFFFFF"/>
              </w:rPr>
              <w:t>0731-</w:t>
            </w:r>
            <w:r>
              <w:rPr>
                <w:rFonts w:hint="eastAsia" w:ascii="宋体" w:hAnsi="宋体" w:eastAsia="宋体" w:cs="宋体"/>
                <w:color w:val="auto"/>
                <w:szCs w:val="21"/>
                <w:highlight w:val="none"/>
                <w:u w:val="single"/>
                <w:shd w:val="clear" w:color="auto" w:fill="FFFFFF"/>
                <w:lang w:eastAsia="zh-CN"/>
              </w:rPr>
              <w:t>85235479</w:t>
            </w:r>
          </w:p>
          <w:p w14:paraId="5B26C4DA">
            <w:pPr>
              <w:keepNext w:val="0"/>
              <w:keepLines w:val="0"/>
              <w:suppressLineNumbers w:val="0"/>
              <w:adjustRightInd w:val="0"/>
              <w:snapToGrid w:val="0"/>
              <w:spacing w:before="0" w:beforeAutospacing="0" w:after="0" w:afterAutospacing="0" w:line="360" w:lineRule="auto"/>
              <w:ind w:left="0" w:right="0"/>
              <w:outlineLvl w:val="9"/>
              <w:rPr>
                <w:rFonts w:hint="default" w:ascii="宋体" w:hAnsi="宋体" w:eastAsia="宋体" w:cs="宋体"/>
                <w:color w:val="auto"/>
                <w:szCs w:val="21"/>
                <w:highlight w:val="none"/>
                <w:lang w:val="en-US"/>
              </w:rPr>
            </w:pPr>
            <w:r>
              <w:rPr>
                <w:rFonts w:hint="eastAsia" w:ascii="宋体" w:hAnsi="宋体" w:eastAsia="宋体" w:cs="宋体"/>
                <w:bCs/>
                <w:color w:val="auto"/>
                <w:szCs w:val="21"/>
                <w:highlight w:val="none"/>
              </w:rPr>
              <w:t>联 系 人：</w:t>
            </w:r>
            <w:r>
              <w:rPr>
                <w:rFonts w:hint="eastAsia" w:ascii="宋体" w:hAnsi="宋体" w:cs="宋体"/>
                <w:bCs/>
                <w:color w:val="auto"/>
                <w:szCs w:val="21"/>
                <w:highlight w:val="none"/>
                <w:u w:val="single"/>
                <w:lang w:val="en-US" w:eastAsia="zh-CN"/>
              </w:rPr>
              <w:t>刘丽花、常添乐、易子杰、刘展</w:t>
            </w:r>
          </w:p>
        </w:tc>
      </w:tr>
      <w:tr w14:paraId="0400E6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080CC85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第二章第2.3款</w:t>
            </w:r>
          </w:p>
        </w:tc>
        <w:tc>
          <w:tcPr>
            <w:tcW w:w="1934" w:type="dxa"/>
            <w:tcBorders>
              <w:top w:val="single" w:color="auto" w:sz="6" w:space="0"/>
              <w:left w:val="single" w:color="auto" w:sz="6" w:space="0"/>
              <w:bottom w:val="single" w:color="auto" w:sz="6" w:space="0"/>
              <w:right w:val="single" w:color="auto" w:sz="6" w:space="0"/>
            </w:tcBorders>
            <w:vAlign w:val="center"/>
          </w:tcPr>
          <w:p w14:paraId="2F262D1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供应商的</w:t>
            </w:r>
            <w:r>
              <w:rPr>
                <w:rFonts w:hint="eastAsia" w:ascii="宋体" w:hAnsi="宋体" w:eastAsia="宋体" w:cs="宋体"/>
                <w:color w:val="auto"/>
                <w:szCs w:val="21"/>
                <w:highlight w:val="none"/>
              </w:rPr>
              <w:t>邀请方式</w:t>
            </w:r>
          </w:p>
        </w:tc>
        <w:tc>
          <w:tcPr>
            <w:tcW w:w="5380" w:type="dxa"/>
            <w:tcBorders>
              <w:top w:val="single" w:color="auto" w:sz="6" w:space="0"/>
              <w:left w:val="single" w:color="auto" w:sz="6" w:space="0"/>
              <w:bottom w:val="single" w:color="auto" w:sz="6" w:space="0"/>
              <w:right w:val="double" w:color="auto" w:sz="4" w:space="0"/>
            </w:tcBorders>
            <w:vAlign w:val="center"/>
          </w:tcPr>
          <w:p w14:paraId="733062E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网上发布公告</w:t>
            </w:r>
          </w:p>
        </w:tc>
      </w:tr>
      <w:tr w14:paraId="7DBFC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5039E3F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第二章第3.1款</w:t>
            </w:r>
          </w:p>
          <w:p w14:paraId="21C57B4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p>
        </w:tc>
        <w:tc>
          <w:tcPr>
            <w:tcW w:w="1934" w:type="dxa"/>
            <w:tcBorders>
              <w:top w:val="single" w:color="auto" w:sz="6" w:space="0"/>
              <w:left w:val="single" w:color="auto" w:sz="6" w:space="0"/>
              <w:bottom w:val="single" w:color="auto" w:sz="6" w:space="0"/>
              <w:right w:val="single" w:color="auto" w:sz="6" w:space="0"/>
            </w:tcBorders>
            <w:vAlign w:val="center"/>
          </w:tcPr>
          <w:p w14:paraId="305EEA2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资格条件</w:t>
            </w:r>
          </w:p>
          <w:p w14:paraId="17D9F11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p>
        </w:tc>
        <w:tc>
          <w:tcPr>
            <w:tcW w:w="5380" w:type="dxa"/>
            <w:tcBorders>
              <w:top w:val="single" w:color="auto" w:sz="6" w:space="0"/>
              <w:left w:val="single" w:color="auto" w:sz="6" w:space="0"/>
              <w:bottom w:val="single" w:color="auto" w:sz="6" w:space="0"/>
              <w:right w:val="double" w:color="auto" w:sz="4" w:space="0"/>
            </w:tcBorders>
            <w:vAlign w:val="center"/>
          </w:tcPr>
          <w:p w14:paraId="79027D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1、供应商基本资格条件：</w:t>
            </w:r>
          </w:p>
          <w:p w14:paraId="6D2A4E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1.1、在中国境内注册，具有独立法人资格，能独立承担民事责任及履行合同能力；提交企业法人营业执照副本扫描件；</w:t>
            </w:r>
          </w:p>
          <w:p w14:paraId="2AB0C7E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1.2、法人提交法定代表人身份证明或者法定代表人授权委托书扫描件；</w:t>
            </w:r>
          </w:p>
          <w:p w14:paraId="0D7B0D4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1.3、依法缴纳税收的证明材料：各提供下列材料之一：</w:t>
            </w:r>
          </w:p>
          <w:p w14:paraId="14F5F4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缴纳税收证明资料:《税务登记证》扫描件，或者近三个月内任意一个月依法缴纳税收的证明（纳税凭证扫描件），或者委托他人缴纳的委托代办协议和近三个月内任意一个月的缴纳证明（收据扫描件），或者法定征收机关出具的依法免缴税收的证明扫描件；</w:t>
            </w:r>
          </w:p>
          <w:p w14:paraId="7160F7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注：近三个月是指</w:t>
            </w:r>
            <w:r>
              <w:rPr>
                <w:rFonts w:hint="eastAsia" w:ascii="宋体" w:hAnsi="宋体" w:cs="宋体"/>
                <w:color w:val="auto"/>
                <w:sz w:val="21"/>
                <w:szCs w:val="21"/>
                <w:highlight w:val="none"/>
                <w:lang w:val="en-US" w:eastAsia="zh-CN"/>
              </w:rPr>
              <w:t>2025年8月至2025年10月</w:t>
            </w:r>
            <w:r>
              <w:rPr>
                <w:rFonts w:hint="eastAsia" w:ascii="宋体" w:hAnsi="宋体" w:eastAsia="宋体" w:cs="宋体"/>
                <w:color w:val="auto"/>
                <w:sz w:val="21"/>
                <w:szCs w:val="21"/>
                <w:highlight w:val="none"/>
              </w:rPr>
              <w:t>；</w:t>
            </w:r>
          </w:p>
          <w:p w14:paraId="744384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具有实行了“三证合一”登记制度改革的新证，视同为持有工商营业执照、组织机构代码证和税务登记证，符合基本资格条件的相关条款。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具有实行了“五证合一”登记制度改革的新证，视同为持有工商营业执照、组织机构代码证、税务登记证、社会保险登记证和统计登记证，符合基本资格条件的相关条款。</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如是“三证合一”或“五证合一”请自行说明；</w:t>
            </w:r>
          </w:p>
          <w:p w14:paraId="3165A7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被“信用中国”网站列入失信被执行人和重大税收违法案件当事人名单的、被“中国政府采购网”网站列入政府采购严重违法失信行为记录名单（处罚期限尚未届满的），不得参与本项目的采购活动</w:t>
            </w:r>
            <w:r>
              <w:rPr>
                <w:rFonts w:hint="eastAsia" w:ascii="宋体" w:hAnsi="宋体" w:eastAsia="宋体" w:cs="宋体"/>
                <w:color w:val="auto"/>
                <w:szCs w:val="21"/>
                <w:highlight w:val="none"/>
                <w:lang w:eastAsia="zh-CN"/>
              </w:rPr>
              <w:t>；</w:t>
            </w:r>
          </w:p>
          <w:p w14:paraId="3DB6B1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、本次招标不允许联合体投标</w:t>
            </w:r>
            <w:r>
              <w:rPr>
                <w:rFonts w:hint="eastAsia" w:ascii="宋体" w:hAnsi="宋体" w:eastAsia="宋体" w:cs="宋体"/>
                <w:color w:val="auto"/>
                <w:szCs w:val="21"/>
                <w:highlight w:val="none"/>
                <w:lang w:eastAsia="zh-CN"/>
              </w:rPr>
              <w:t>；</w:t>
            </w:r>
          </w:p>
          <w:p w14:paraId="14ECA73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、单位负责人为同一人或者存在直接控股、管理关系的不同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，不得参加同一合同项下的采购活动。 </w:t>
            </w:r>
          </w:p>
          <w:p w14:paraId="066725A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0" w:firstLineChars="0"/>
              <w:textAlignment w:val="auto"/>
              <w:rPr>
                <w:rStyle w:val="47"/>
                <w:rFonts w:hint="eastAsia" w:ascii="宋体" w:hAnsi="宋体" w:eastAsia="宋体" w:cs="宋体"/>
                <w:b w:val="0"/>
                <w:color w:val="auto"/>
                <w:sz w:val="21"/>
                <w:szCs w:val="21"/>
                <w:highlight w:val="none"/>
                <w:shd w:val="clear" w:color="auto" w:fill="FFFFFF"/>
              </w:rPr>
            </w:pPr>
            <w:r>
              <w:rPr>
                <w:rFonts w:hint="eastAsia" w:ascii="宋体" w:hAnsi="宋体" w:eastAsia="宋体" w:cs="宋体"/>
                <w:color w:val="auto"/>
                <w:sz w:val="21"/>
                <w:szCs w:val="21"/>
                <w:highlight w:val="none"/>
              </w:rPr>
              <w:t>2、供应商特定资格条件：</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p w14:paraId="140EB2C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2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注：以上供应商资格条件中所需提供资格证明资料扫描件均为原件扫描件。</w:t>
            </w:r>
          </w:p>
        </w:tc>
      </w:tr>
      <w:tr w14:paraId="266C4D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1F388FE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第二章第6.1款</w:t>
            </w:r>
          </w:p>
        </w:tc>
        <w:tc>
          <w:tcPr>
            <w:tcW w:w="1934" w:type="dxa"/>
            <w:tcBorders>
              <w:top w:val="single" w:color="auto" w:sz="6" w:space="0"/>
              <w:left w:val="single" w:color="auto" w:sz="6" w:space="0"/>
              <w:bottom w:val="single" w:color="auto" w:sz="6" w:space="0"/>
              <w:right w:val="single" w:color="auto" w:sz="6" w:space="0"/>
            </w:tcBorders>
            <w:vAlign w:val="center"/>
          </w:tcPr>
          <w:p w14:paraId="3768A2F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联合体形式</w:t>
            </w:r>
          </w:p>
        </w:tc>
        <w:tc>
          <w:tcPr>
            <w:tcW w:w="5380" w:type="dxa"/>
            <w:tcBorders>
              <w:top w:val="single" w:color="auto" w:sz="6" w:space="0"/>
              <w:left w:val="single" w:color="auto" w:sz="6" w:space="0"/>
              <w:bottom w:val="single" w:color="auto" w:sz="6" w:space="0"/>
              <w:right w:val="double" w:color="auto" w:sz="4" w:space="0"/>
            </w:tcBorders>
            <w:vAlign w:val="center"/>
          </w:tcPr>
          <w:p w14:paraId="10E895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不接受</w:t>
            </w:r>
          </w:p>
          <w:p w14:paraId="1AF595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接受</w:t>
            </w:r>
          </w:p>
        </w:tc>
      </w:tr>
      <w:tr w14:paraId="792C8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783A6C5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第二章第6.2款</w:t>
            </w:r>
          </w:p>
        </w:tc>
        <w:tc>
          <w:tcPr>
            <w:tcW w:w="1934" w:type="dxa"/>
            <w:tcBorders>
              <w:top w:val="single" w:color="auto" w:sz="6" w:space="0"/>
              <w:left w:val="single" w:color="auto" w:sz="6" w:space="0"/>
              <w:bottom w:val="single" w:color="auto" w:sz="6" w:space="0"/>
              <w:right w:val="single" w:color="auto" w:sz="6" w:space="0"/>
            </w:tcBorders>
            <w:vAlign w:val="center"/>
          </w:tcPr>
          <w:p w14:paraId="2F18A19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对联合体各方的要求</w:t>
            </w:r>
          </w:p>
        </w:tc>
        <w:tc>
          <w:tcPr>
            <w:tcW w:w="5380" w:type="dxa"/>
            <w:tcBorders>
              <w:top w:val="single" w:color="auto" w:sz="6" w:space="0"/>
              <w:left w:val="single" w:color="auto" w:sz="6" w:space="0"/>
              <w:bottom w:val="single" w:color="auto" w:sz="6" w:space="0"/>
              <w:right w:val="double" w:color="auto" w:sz="4" w:space="0"/>
            </w:tcBorders>
            <w:vAlign w:val="center"/>
          </w:tcPr>
          <w:p w14:paraId="3FC932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无</w:t>
            </w:r>
          </w:p>
        </w:tc>
      </w:tr>
      <w:tr w14:paraId="1B48E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03AFDE3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第二章第7.1款</w:t>
            </w:r>
          </w:p>
        </w:tc>
        <w:tc>
          <w:tcPr>
            <w:tcW w:w="1934" w:type="dxa"/>
            <w:tcBorders>
              <w:top w:val="single" w:color="auto" w:sz="6" w:space="0"/>
              <w:left w:val="single" w:color="auto" w:sz="6" w:space="0"/>
              <w:bottom w:val="single" w:color="auto" w:sz="6" w:space="0"/>
              <w:right w:val="single" w:color="auto" w:sz="6" w:space="0"/>
            </w:tcBorders>
            <w:vAlign w:val="center"/>
          </w:tcPr>
          <w:p w14:paraId="63C4EC6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现场勘察</w:t>
            </w:r>
          </w:p>
        </w:tc>
        <w:tc>
          <w:tcPr>
            <w:tcW w:w="5380" w:type="dxa"/>
            <w:tcBorders>
              <w:top w:val="single" w:color="auto" w:sz="6" w:space="0"/>
              <w:left w:val="single" w:color="auto" w:sz="6" w:space="0"/>
              <w:bottom w:val="single" w:color="auto" w:sz="6" w:space="0"/>
              <w:right w:val="double" w:color="auto" w:sz="4" w:space="0"/>
            </w:tcBorders>
            <w:vAlign w:val="center"/>
          </w:tcPr>
          <w:p w14:paraId="413831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采购人不组织</w:t>
            </w:r>
          </w:p>
          <w:p w14:paraId="68F456E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采购人组织，时间：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p>
        </w:tc>
      </w:tr>
      <w:tr w14:paraId="0BAAA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9220" w:type="dxa"/>
            <w:gridSpan w:val="3"/>
            <w:tcBorders>
              <w:top w:val="single" w:color="auto" w:sz="6" w:space="0"/>
              <w:left w:val="double" w:color="auto" w:sz="4" w:space="0"/>
              <w:bottom w:val="single" w:color="auto" w:sz="6" w:space="0"/>
              <w:right w:val="double" w:color="auto" w:sz="4" w:space="0"/>
            </w:tcBorders>
            <w:vAlign w:val="center"/>
          </w:tcPr>
          <w:p w14:paraId="2BC9D44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二、磋商文件</w:t>
            </w:r>
          </w:p>
        </w:tc>
      </w:tr>
      <w:tr w14:paraId="363AB9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0BD1AEC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第二章第10.2款</w:t>
            </w:r>
          </w:p>
        </w:tc>
        <w:tc>
          <w:tcPr>
            <w:tcW w:w="1934" w:type="dxa"/>
            <w:tcBorders>
              <w:top w:val="single" w:color="auto" w:sz="6" w:space="0"/>
              <w:left w:val="single" w:color="auto" w:sz="6" w:space="0"/>
              <w:bottom w:val="single" w:color="auto" w:sz="6" w:space="0"/>
              <w:right w:val="single" w:color="auto" w:sz="6" w:space="0"/>
            </w:tcBorders>
            <w:vAlign w:val="center"/>
          </w:tcPr>
          <w:p w14:paraId="2EE6ADD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磋商文件的可能实质性变动内容</w:t>
            </w:r>
          </w:p>
        </w:tc>
        <w:tc>
          <w:tcPr>
            <w:tcW w:w="5380" w:type="dxa"/>
            <w:tcBorders>
              <w:top w:val="single" w:color="auto" w:sz="6" w:space="0"/>
              <w:left w:val="single" w:color="auto" w:sz="6" w:space="0"/>
              <w:bottom w:val="single" w:color="auto" w:sz="6" w:space="0"/>
              <w:right w:val="double" w:color="auto" w:sz="4" w:space="0"/>
            </w:tcBorders>
            <w:vAlign w:val="center"/>
          </w:tcPr>
          <w:p w14:paraId="5B4ADE5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第四章 采购需求。磋商文件的实质性变动内容为磋商文件的组成部分，实质性变动内容</w:t>
            </w:r>
            <w:r>
              <w:rPr>
                <w:rFonts w:hint="eastAsia" w:ascii="宋体" w:hAnsi="宋体" w:eastAsia="宋体" w:cs="宋体"/>
                <w:color w:val="auto"/>
                <w:szCs w:val="21"/>
                <w:highlight w:val="none"/>
                <w:lang w:val="zh-CN"/>
              </w:rPr>
              <w:t>与</w:t>
            </w:r>
            <w:r>
              <w:rPr>
                <w:rFonts w:hint="eastAsia" w:ascii="宋体" w:hAnsi="宋体" w:eastAsia="宋体" w:cs="宋体"/>
                <w:bCs/>
                <w:color w:val="auto"/>
                <w:szCs w:val="21"/>
                <w:highlight w:val="none"/>
              </w:rPr>
              <w:t>磋商文件</w:t>
            </w:r>
            <w:r>
              <w:rPr>
                <w:rFonts w:hint="eastAsia" w:ascii="宋体" w:hAnsi="宋体" w:eastAsia="宋体" w:cs="宋体"/>
                <w:color w:val="auto"/>
                <w:szCs w:val="21"/>
                <w:highlight w:val="none"/>
                <w:lang w:val="zh-CN"/>
              </w:rPr>
              <w:t>不一致时，以</w:t>
            </w:r>
            <w:r>
              <w:rPr>
                <w:rFonts w:hint="eastAsia" w:ascii="宋体" w:hAnsi="宋体" w:eastAsia="宋体" w:cs="宋体"/>
                <w:bCs/>
                <w:color w:val="auto"/>
                <w:szCs w:val="21"/>
                <w:highlight w:val="none"/>
              </w:rPr>
              <w:t>实质性变动内容</w:t>
            </w:r>
            <w:r>
              <w:rPr>
                <w:rFonts w:hint="eastAsia" w:ascii="宋体" w:hAnsi="宋体" w:eastAsia="宋体" w:cs="宋体"/>
                <w:color w:val="auto"/>
                <w:szCs w:val="21"/>
                <w:highlight w:val="none"/>
                <w:lang w:val="zh-CN"/>
              </w:rPr>
              <w:t>为准。</w:t>
            </w:r>
          </w:p>
        </w:tc>
      </w:tr>
      <w:tr w14:paraId="69268E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7661B85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第二章第11.1款</w:t>
            </w:r>
          </w:p>
        </w:tc>
        <w:tc>
          <w:tcPr>
            <w:tcW w:w="1934" w:type="dxa"/>
            <w:tcBorders>
              <w:top w:val="single" w:color="auto" w:sz="6" w:space="0"/>
              <w:left w:val="single" w:color="auto" w:sz="6" w:space="0"/>
              <w:bottom w:val="single" w:color="auto" w:sz="6" w:space="0"/>
              <w:right w:val="single" w:color="auto" w:sz="6" w:space="0"/>
            </w:tcBorders>
            <w:vAlign w:val="center"/>
          </w:tcPr>
          <w:p w14:paraId="4CA8952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提供磋商文件期限</w:t>
            </w:r>
          </w:p>
        </w:tc>
        <w:tc>
          <w:tcPr>
            <w:tcW w:w="5380" w:type="dxa"/>
            <w:tcBorders>
              <w:top w:val="single" w:color="auto" w:sz="6" w:space="0"/>
              <w:left w:val="single" w:color="auto" w:sz="6" w:space="0"/>
              <w:bottom w:val="single" w:color="auto" w:sz="6" w:space="0"/>
              <w:right w:val="double" w:color="auto" w:sz="4" w:space="0"/>
            </w:tcBorders>
            <w:vAlign w:val="center"/>
          </w:tcPr>
          <w:p w14:paraId="0BDE83B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详见磋商公告</w:t>
            </w:r>
          </w:p>
        </w:tc>
      </w:tr>
      <w:tr w14:paraId="5DE352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6B55DBC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第二章第11.2款</w:t>
            </w:r>
          </w:p>
        </w:tc>
        <w:tc>
          <w:tcPr>
            <w:tcW w:w="1934" w:type="dxa"/>
            <w:tcBorders>
              <w:top w:val="single" w:color="auto" w:sz="6" w:space="0"/>
              <w:left w:val="single" w:color="auto" w:sz="6" w:space="0"/>
              <w:bottom w:val="single" w:color="auto" w:sz="6" w:space="0"/>
              <w:right w:val="single" w:color="auto" w:sz="6" w:space="0"/>
            </w:tcBorders>
            <w:vAlign w:val="center"/>
          </w:tcPr>
          <w:p w14:paraId="0A6DC33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获取磋商文件的方式</w:t>
            </w:r>
          </w:p>
        </w:tc>
        <w:tc>
          <w:tcPr>
            <w:tcW w:w="5380" w:type="dxa"/>
            <w:tcBorders>
              <w:top w:val="single" w:color="auto" w:sz="6" w:space="0"/>
              <w:left w:val="single" w:color="auto" w:sz="6" w:space="0"/>
              <w:bottom w:val="single" w:color="auto" w:sz="6" w:space="0"/>
              <w:right w:val="double" w:color="auto" w:sz="4" w:space="0"/>
            </w:tcBorders>
            <w:vAlign w:val="center"/>
          </w:tcPr>
          <w:p w14:paraId="6D5528C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登录《长沙水业集团电子招采平台》（http://cg.supplywater.com/）下载</w:t>
            </w:r>
          </w:p>
        </w:tc>
      </w:tr>
      <w:tr w14:paraId="45E81F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69AFA52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第二章第12.1款</w:t>
            </w:r>
          </w:p>
        </w:tc>
        <w:tc>
          <w:tcPr>
            <w:tcW w:w="1934" w:type="dxa"/>
            <w:tcBorders>
              <w:top w:val="single" w:color="auto" w:sz="6" w:space="0"/>
              <w:left w:val="single" w:color="auto" w:sz="6" w:space="0"/>
              <w:bottom w:val="single" w:color="auto" w:sz="6" w:space="0"/>
              <w:right w:val="single" w:color="auto" w:sz="6" w:space="0"/>
            </w:tcBorders>
            <w:vAlign w:val="center"/>
          </w:tcPr>
          <w:p w14:paraId="007E740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提交响应文件的截止时间</w:t>
            </w:r>
          </w:p>
        </w:tc>
        <w:tc>
          <w:tcPr>
            <w:tcW w:w="5380" w:type="dxa"/>
            <w:tcBorders>
              <w:top w:val="single" w:color="auto" w:sz="6" w:space="0"/>
              <w:left w:val="single" w:color="auto" w:sz="6" w:space="0"/>
              <w:bottom w:val="single" w:color="auto" w:sz="6" w:space="0"/>
              <w:right w:val="double" w:color="auto" w:sz="4" w:space="0"/>
            </w:tcBorders>
            <w:vAlign w:val="center"/>
          </w:tcPr>
          <w:p w14:paraId="6349705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详见磋商公告</w:t>
            </w:r>
          </w:p>
        </w:tc>
      </w:tr>
      <w:tr w14:paraId="2786EF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9220" w:type="dxa"/>
            <w:gridSpan w:val="3"/>
            <w:tcBorders>
              <w:top w:val="single" w:color="auto" w:sz="6" w:space="0"/>
              <w:left w:val="double" w:color="auto" w:sz="4" w:space="0"/>
              <w:bottom w:val="single" w:color="auto" w:sz="6" w:space="0"/>
              <w:right w:val="double" w:color="auto" w:sz="4" w:space="0"/>
            </w:tcBorders>
            <w:vAlign w:val="center"/>
          </w:tcPr>
          <w:p w14:paraId="7819FFA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三、响应文件的编写</w:t>
            </w:r>
          </w:p>
        </w:tc>
      </w:tr>
      <w:tr w14:paraId="4A85F0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5F3B9A4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第二章第16.</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款</w:t>
            </w:r>
          </w:p>
        </w:tc>
        <w:tc>
          <w:tcPr>
            <w:tcW w:w="1934" w:type="dxa"/>
            <w:tcBorders>
              <w:top w:val="single" w:color="auto" w:sz="6" w:space="0"/>
              <w:left w:val="single" w:color="auto" w:sz="6" w:space="0"/>
              <w:bottom w:val="single" w:color="auto" w:sz="6" w:space="0"/>
              <w:right w:val="single" w:color="auto" w:sz="6" w:space="0"/>
            </w:tcBorders>
            <w:vAlign w:val="center"/>
          </w:tcPr>
          <w:p w14:paraId="462EC24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上限值</w:t>
            </w:r>
          </w:p>
        </w:tc>
        <w:tc>
          <w:tcPr>
            <w:tcW w:w="5380" w:type="dxa"/>
            <w:tcBorders>
              <w:top w:val="single" w:color="auto" w:sz="6" w:space="0"/>
              <w:left w:val="single" w:color="auto" w:sz="6" w:space="0"/>
              <w:bottom w:val="single" w:color="auto" w:sz="6" w:space="0"/>
              <w:right w:val="double" w:color="auto" w:sz="4" w:space="0"/>
            </w:tcBorders>
            <w:vAlign w:val="center"/>
          </w:tcPr>
          <w:p w14:paraId="23B9526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textAlignment w:val="auto"/>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796037元</w:t>
            </w:r>
          </w:p>
        </w:tc>
      </w:tr>
      <w:tr w14:paraId="20976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782DB7B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第二章第16.4款</w:t>
            </w:r>
          </w:p>
        </w:tc>
        <w:tc>
          <w:tcPr>
            <w:tcW w:w="1934" w:type="dxa"/>
            <w:tcBorders>
              <w:top w:val="single" w:color="auto" w:sz="6" w:space="0"/>
              <w:left w:val="single" w:color="auto" w:sz="6" w:space="0"/>
              <w:bottom w:val="single" w:color="auto" w:sz="6" w:space="0"/>
              <w:right w:val="single" w:color="auto" w:sz="6" w:space="0"/>
            </w:tcBorders>
            <w:vAlign w:val="center"/>
          </w:tcPr>
          <w:p w14:paraId="142F75D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报价模式</w:t>
            </w:r>
          </w:p>
        </w:tc>
        <w:tc>
          <w:tcPr>
            <w:tcW w:w="5380" w:type="dxa"/>
            <w:tcBorders>
              <w:top w:val="single" w:color="auto" w:sz="6" w:space="0"/>
              <w:left w:val="single" w:color="auto" w:sz="6" w:space="0"/>
              <w:bottom w:val="single" w:color="auto" w:sz="6" w:space="0"/>
              <w:right w:val="double" w:color="auto" w:sz="4" w:space="0"/>
            </w:tcBorders>
            <w:vAlign w:val="center"/>
          </w:tcPr>
          <w:p w14:paraId="27FCE56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本项目采用一次报价模式（即报价次数为一次）</w:t>
            </w:r>
          </w:p>
        </w:tc>
      </w:tr>
      <w:tr w14:paraId="31DCA0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19DAC0B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第二章第19.1款</w:t>
            </w:r>
          </w:p>
        </w:tc>
        <w:tc>
          <w:tcPr>
            <w:tcW w:w="1934" w:type="dxa"/>
            <w:tcBorders>
              <w:top w:val="single" w:color="auto" w:sz="6" w:space="0"/>
              <w:left w:val="single" w:color="auto" w:sz="6" w:space="0"/>
              <w:bottom w:val="single" w:color="auto" w:sz="6" w:space="0"/>
              <w:right w:val="single" w:color="auto" w:sz="6" w:space="0"/>
            </w:tcBorders>
            <w:vAlign w:val="center"/>
          </w:tcPr>
          <w:p w14:paraId="51F405E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5380" w:type="dxa"/>
            <w:tcBorders>
              <w:top w:val="single" w:color="auto" w:sz="6" w:space="0"/>
              <w:left w:val="single" w:color="auto" w:sz="6" w:space="0"/>
              <w:bottom w:val="single" w:color="auto" w:sz="6" w:space="0"/>
              <w:right w:val="double" w:color="auto" w:sz="4" w:space="0"/>
            </w:tcBorders>
            <w:vAlign w:val="center"/>
          </w:tcPr>
          <w:p w14:paraId="4CC76F4E">
            <w:pPr>
              <w:keepNext w:val="0"/>
              <w:keepLines w:val="0"/>
              <w:pageBreakBefore w:val="0"/>
              <w:widowControl w:val="0"/>
              <w:suppressLineNumbers w:val="0"/>
              <w:kinsoku/>
              <w:wordWrap/>
              <w:overflowPunct/>
              <w:topLinePunct w:val="0"/>
              <w:bidi w:val="0"/>
              <w:spacing w:before="0" w:beforeAutospacing="0" w:after="0" w:afterAutospacing="0" w:line="400" w:lineRule="exact"/>
              <w:ind w:left="0" w:leftChars="0" w:right="0" w:firstLine="0" w:firstLineChars="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☑不要求提供， 但须在响应文件中进行承诺，具体内容详见磋商须知正文。</w:t>
            </w:r>
          </w:p>
          <w:p w14:paraId="43D99965">
            <w:pPr>
              <w:keepNext w:val="0"/>
              <w:keepLines w:val="0"/>
              <w:pageBreakBefore w:val="0"/>
              <w:widowControl w:val="0"/>
              <w:suppressLineNumbers w:val="0"/>
              <w:kinsoku/>
              <w:wordWrap/>
              <w:overflowPunct/>
              <w:topLinePunct w:val="0"/>
              <w:bidi w:val="0"/>
              <w:spacing w:before="0" w:beforeAutospacing="0" w:after="0" w:afterAutospacing="0" w:line="400" w:lineRule="exact"/>
              <w:ind w:left="0" w:leftChars="0" w:right="0" w:firstLine="0" w:firstLineChars="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与本项目供应商，如存在串标围标等违反招投标法律法规政策和本采购文件禁止的行为，则该供应商除应承担法律责任外，有交投标保证金的，保证金将不予退还，项目无投标保证金的，应各自按照项目预算金额或上限值的2%分别向采购人支付赔偿金；给采购人造成其他直接或间接损失的，涉事供应商还应全额赔偿。参与本项目供应商均视为认可该条款并承诺严格遵照执行。</w:t>
            </w:r>
          </w:p>
          <w:p w14:paraId="17231314">
            <w:pPr>
              <w:keepNext w:val="0"/>
              <w:keepLines w:val="0"/>
              <w:pageBreakBefore w:val="0"/>
              <w:widowControl w:val="0"/>
              <w:suppressLineNumbers w:val="0"/>
              <w:kinsoku/>
              <w:wordWrap/>
              <w:overflowPunct/>
              <w:topLinePunct w:val="0"/>
              <w:bidi w:val="0"/>
              <w:spacing w:before="0" w:beforeAutospacing="0" w:after="0" w:afterAutospacing="0" w:line="400" w:lineRule="exact"/>
              <w:ind w:left="0" w:leftChars="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□要求提供</w:t>
            </w:r>
          </w:p>
        </w:tc>
      </w:tr>
      <w:tr w14:paraId="6459CE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7E27A82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第二章第20.1款</w:t>
            </w:r>
          </w:p>
        </w:tc>
        <w:tc>
          <w:tcPr>
            <w:tcW w:w="1934" w:type="dxa"/>
            <w:tcBorders>
              <w:top w:val="single" w:color="auto" w:sz="6" w:space="0"/>
              <w:left w:val="single" w:color="auto" w:sz="6" w:space="0"/>
              <w:bottom w:val="single" w:color="auto" w:sz="6" w:space="0"/>
              <w:right w:val="single" w:color="auto" w:sz="6" w:space="0"/>
            </w:tcBorders>
            <w:vAlign w:val="center"/>
          </w:tcPr>
          <w:p w14:paraId="2C87850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响应文件有效期</w:t>
            </w:r>
          </w:p>
        </w:tc>
        <w:tc>
          <w:tcPr>
            <w:tcW w:w="5380" w:type="dxa"/>
            <w:tcBorders>
              <w:top w:val="single" w:color="auto" w:sz="6" w:space="0"/>
              <w:left w:val="single" w:color="auto" w:sz="6" w:space="0"/>
              <w:bottom w:val="single" w:color="auto" w:sz="6" w:space="0"/>
              <w:right w:val="double" w:color="auto" w:sz="4" w:space="0"/>
            </w:tcBorders>
            <w:vAlign w:val="center"/>
          </w:tcPr>
          <w:p w14:paraId="600C19A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single"/>
                <w:lang w:val="en-US" w:eastAsia="zh-CN"/>
              </w:rPr>
              <w:t>90</w:t>
            </w:r>
            <w:r>
              <w:rPr>
                <w:rFonts w:hint="eastAsia" w:ascii="宋体" w:hAnsi="宋体" w:eastAsia="宋体" w:cs="宋体"/>
                <w:color w:val="auto"/>
                <w:szCs w:val="21"/>
                <w:highlight w:val="none"/>
              </w:rPr>
              <w:t>日（日历日）</w:t>
            </w:r>
          </w:p>
        </w:tc>
      </w:tr>
      <w:tr w14:paraId="6C1C39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9220" w:type="dxa"/>
            <w:gridSpan w:val="3"/>
            <w:tcBorders>
              <w:top w:val="single" w:color="auto" w:sz="6" w:space="0"/>
              <w:left w:val="double" w:color="auto" w:sz="4" w:space="0"/>
              <w:bottom w:val="single" w:color="auto" w:sz="6" w:space="0"/>
              <w:right w:val="double" w:color="auto" w:sz="4" w:space="0"/>
            </w:tcBorders>
            <w:vAlign w:val="center"/>
          </w:tcPr>
          <w:p w14:paraId="2E71C3C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四、响应文件的递交</w:t>
            </w:r>
          </w:p>
        </w:tc>
      </w:tr>
      <w:tr w14:paraId="6701DD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1EC5E82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第二章第21.1款</w:t>
            </w:r>
          </w:p>
        </w:tc>
        <w:tc>
          <w:tcPr>
            <w:tcW w:w="1934" w:type="dxa"/>
            <w:tcBorders>
              <w:top w:val="single" w:color="auto" w:sz="6" w:space="0"/>
              <w:left w:val="single" w:color="auto" w:sz="6" w:space="0"/>
              <w:bottom w:val="single" w:color="auto" w:sz="6" w:space="0"/>
              <w:right w:val="single" w:color="auto" w:sz="6" w:space="0"/>
            </w:tcBorders>
            <w:vAlign w:val="center"/>
          </w:tcPr>
          <w:p w14:paraId="32C7C4A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响应文件的递交</w:t>
            </w:r>
          </w:p>
        </w:tc>
        <w:tc>
          <w:tcPr>
            <w:tcW w:w="5380" w:type="dxa"/>
            <w:tcBorders>
              <w:top w:val="single" w:color="auto" w:sz="6" w:space="0"/>
              <w:left w:val="single" w:color="auto" w:sz="6" w:space="0"/>
              <w:bottom w:val="single" w:color="auto" w:sz="6" w:space="0"/>
              <w:right w:val="double" w:color="auto" w:sz="4" w:space="0"/>
            </w:tcBorders>
            <w:vAlign w:val="center"/>
          </w:tcPr>
          <w:p w14:paraId="23E80E3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递交网址：《长沙水业集团电子招采平台》（http://cg.supplywater.com/）</w:t>
            </w:r>
          </w:p>
        </w:tc>
      </w:tr>
      <w:tr w14:paraId="076A67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29BCB0E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第二章第21.2款</w:t>
            </w:r>
          </w:p>
        </w:tc>
        <w:tc>
          <w:tcPr>
            <w:tcW w:w="1934" w:type="dxa"/>
            <w:tcBorders>
              <w:top w:val="single" w:color="auto" w:sz="6" w:space="0"/>
              <w:left w:val="single" w:color="auto" w:sz="6" w:space="0"/>
              <w:bottom w:val="single" w:color="auto" w:sz="6" w:space="0"/>
              <w:right w:val="single" w:color="auto" w:sz="6" w:space="0"/>
            </w:tcBorders>
            <w:vAlign w:val="center"/>
          </w:tcPr>
          <w:p w14:paraId="1683714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响应文件解密要求</w:t>
            </w:r>
          </w:p>
        </w:tc>
        <w:tc>
          <w:tcPr>
            <w:tcW w:w="5380" w:type="dxa"/>
            <w:tcBorders>
              <w:top w:val="single" w:color="auto" w:sz="6" w:space="0"/>
              <w:left w:val="single" w:color="auto" w:sz="6" w:space="0"/>
              <w:bottom w:val="single" w:color="auto" w:sz="6" w:space="0"/>
              <w:right w:val="double" w:color="auto" w:sz="4" w:space="0"/>
            </w:tcBorders>
            <w:vAlign w:val="center"/>
          </w:tcPr>
          <w:p w14:paraId="059350E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需在开标前进行投标文件上传、开标后20分钟内完成解密，如在上传投标文件、开标解密过程中出现任何问题，应及时与平台人员取得联系，如联系不及时或者</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自身原因导致无法完成投标文件上传、解密等工作，由</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自行承担相应后果。招采联系人：（经办人），联系电话：0731-89706069，客服</w:t>
            </w:r>
            <w:r>
              <w:rPr>
                <w:rFonts w:hint="eastAsia" w:ascii="宋体" w:hAnsi="宋体" w:eastAsia="宋体" w:cs="宋体"/>
                <w:color w:val="auto"/>
                <w:szCs w:val="21"/>
                <w:highlight w:val="none"/>
                <w:lang w:val="en-US" w:eastAsia="zh-CN"/>
              </w:rPr>
              <w:t>微信：详见磋商公告</w:t>
            </w:r>
            <w:r>
              <w:rPr>
                <w:rFonts w:hint="eastAsia" w:ascii="宋体" w:hAnsi="宋体" w:eastAsia="宋体" w:cs="宋体"/>
                <w:color w:val="auto"/>
                <w:szCs w:val="21"/>
                <w:highlight w:val="none"/>
              </w:rPr>
              <w:t>。</w:t>
            </w:r>
          </w:p>
        </w:tc>
      </w:tr>
      <w:tr w14:paraId="15A0E2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9220" w:type="dxa"/>
            <w:gridSpan w:val="3"/>
            <w:tcBorders>
              <w:top w:val="single" w:color="auto" w:sz="6" w:space="0"/>
              <w:left w:val="double" w:color="auto" w:sz="4" w:space="0"/>
              <w:bottom w:val="single" w:color="auto" w:sz="6" w:space="0"/>
              <w:right w:val="double" w:color="auto" w:sz="4" w:space="0"/>
            </w:tcBorders>
            <w:vAlign w:val="center"/>
          </w:tcPr>
          <w:p w14:paraId="2D6EF6C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五、响应文件的磋商与评审</w:t>
            </w:r>
          </w:p>
        </w:tc>
      </w:tr>
      <w:tr w14:paraId="7AF38D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2C7FB81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第二章第31.2款</w:t>
            </w:r>
          </w:p>
        </w:tc>
        <w:tc>
          <w:tcPr>
            <w:tcW w:w="1934" w:type="dxa"/>
            <w:tcBorders>
              <w:top w:val="single" w:color="auto" w:sz="6" w:space="0"/>
              <w:left w:val="single" w:color="auto" w:sz="6" w:space="0"/>
              <w:bottom w:val="single" w:color="auto" w:sz="6" w:space="0"/>
              <w:right w:val="single" w:color="auto" w:sz="6" w:space="0"/>
            </w:tcBorders>
            <w:vAlign w:val="center"/>
          </w:tcPr>
          <w:p w14:paraId="4F8658C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评审因素和标准</w:t>
            </w:r>
          </w:p>
        </w:tc>
        <w:tc>
          <w:tcPr>
            <w:tcW w:w="5380" w:type="dxa"/>
            <w:tcBorders>
              <w:top w:val="single" w:color="auto" w:sz="6" w:space="0"/>
              <w:left w:val="single" w:color="auto" w:sz="6" w:space="0"/>
              <w:bottom w:val="single" w:color="auto" w:sz="6" w:space="0"/>
              <w:right w:val="double" w:color="auto" w:sz="4" w:space="0"/>
            </w:tcBorders>
            <w:vAlign w:val="center"/>
          </w:tcPr>
          <w:p w14:paraId="5DB4452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见附页1</w:t>
            </w:r>
          </w:p>
        </w:tc>
      </w:tr>
      <w:tr w14:paraId="73300A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9220" w:type="dxa"/>
            <w:gridSpan w:val="3"/>
            <w:tcBorders>
              <w:top w:val="single" w:color="auto" w:sz="6" w:space="0"/>
              <w:left w:val="double" w:color="auto" w:sz="4" w:space="0"/>
              <w:bottom w:val="single" w:color="auto" w:sz="6" w:space="0"/>
              <w:right w:val="double" w:color="auto" w:sz="4" w:space="0"/>
            </w:tcBorders>
            <w:vAlign w:val="center"/>
          </w:tcPr>
          <w:p w14:paraId="03444AC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六、成交结果信息公布与授予合同</w:t>
            </w:r>
          </w:p>
        </w:tc>
      </w:tr>
      <w:tr w14:paraId="04D153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906" w:type="dxa"/>
            <w:tcBorders>
              <w:top w:val="single" w:color="auto" w:sz="6" w:space="0"/>
              <w:left w:val="double" w:color="auto" w:sz="4" w:space="0"/>
              <w:bottom w:val="single" w:color="auto" w:sz="6" w:space="0"/>
              <w:right w:val="single" w:color="auto" w:sz="6" w:space="0"/>
            </w:tcBorders>
            <w:vAlign w:val="center"/>
          </w:tcPr>
          <w:p w14:paraId="0BA6BF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.1款、</w:t>
            </w:r>
          </w:p>
        </w:tc>
        <w:tc>
          <w:tcPr>
            <w:tcW w:w="1934" w:type="dxa"/>
            <w:tcBorders>
              <w:top w:val="single" w:color="auto" w:sz="6" w:space="0"/>
              <w:left w:val="single" w:color="auto" w:sz="6" w:space="0"/>
              <w:bottom w:val="single" w:color="auto" w:sz="6" w:space="0"/>
              <w:right w:val="single" w:color="auto" w:sz="6" w:space="0"/>
            </w:tcBorders>
            <w:vAlign w:val="center"/>
          </w:tcPr>
          <w:p w14:paraId="31F69DC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指定的媒体</w:t>
            </w:r>
          </w:p>
        </w:tc>
        <w:tc>
          <w:tcPr>
            <w:tcW w:w="5380" w:type="dxa"/>
            <w:tcBorders>
              <w:top w:val="single" w:color="auto" w:sz="6" w:space="0"/>
              <w:left w:val="single" w:color="auto" w:sz="6" w:space="0"/>
              <w:bottom w:val="single" w:color="auto" w:sz="6" w:space="0"/>
              <w:right w:val="double" w:color="auto" w:sz="4" w:space="0"/>
            </w:tcBorders>
            <w:vAlign w:val="center"/>
          </w:tcPr>
          <w:p w14:paraId="1D9BE830">
            <w:pPr>
              <w:pStyle w:val="64"/>
              <w:keepNext w:val="0"/>
              <w:keepLines w:val="0"/>
              <w:pageBreakBefore w:val="0"/>
              <w:widowControl w:val="0"/>
              <w:suppressLineNumbers w:val="0"/>
              <w:kinsoku/>
              <w:wordWrap/>
              <w:overflowPunct/>
              <w:topLinePunct w:val="0"/>
              <w:bidi w:val="0"/>
              <w:spacing w:before="0" w:beforeAutospacing="0" w:after="0" w:afterAutospacing="0"/>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长沙水业集团官网</w:t>
            </w:r>
          </w:p>
        </w:tc>
      </w:tr>
      <w:tr w14:paraId="5A5D88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9220" w:type="dxa"/>
            <w:gridSpan w:val="3"/>
            <w:tcBorders>
              <w:top w:val="single" w:color="auto" w:sz="6" w:space="0"/>
              <w:left w:val="double" w:color="auto" w:sz="4" w:space="0"/>
              <w:bottom w:val="single" w:color="auto" w:sz="6" w:space="0"/>
              <w:right w:val="double" w:color="auto" w:sz="4" w:space="0"/>
            </w:tcBorders>
            <w:vAlign w:val="center"/>
          </w:tcPr>
          <w:p w14:paraId="07D5C04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七、其他规定</w:t>
            </w:r>
          </w:p>
        </w:tc>
      </w:tr>
      <w:tr w14:paraId="644FD8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3840" w:type="dxa"/>
            <w:gridSpan w:val="2"/>
            <w:tcBorders>
              <w:top w:val="single" w:color="auto" w:sz="6" w:space="0"/>
              <w:left w:val="double" w:color="auto" w:sz="4" w:space="0"/>
              <w:bottom w:val="single" w:color="auto" w:sz="6" w:space="0"/>
              <w:right w:val="single" w:color="auto" w:sz="6" w:space="0"/>
            </w:tcBorders>
            <w:vAlign w:val="center"/>
          </w:tcPr>
          <w:p w14:paraId="2B38403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5380" w:type="dxa"/>
            <w:tcBorders>
              <w:top w:val="single" w:color="auto" w:sz="6" w:space="0"/>
              <w:left w:val="single" w:color="auto" w:sz="6" w:space="0"/>
              <w:bottom w:val="single" w:color="auto" w:sz="6" w:space="0"/>
              <w:right w:val="double" w:color="auto" w:sz="4" w:space="0"/>
            </w:tcBorders>
            <w:vAlign w:val="center"/>
          </w:tcPr>
          <w:p w14:paraId="186731F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招标代理服务费按照长沙水业集团相关收费标准及</w:t>
            </w:r>
            <w:r>
              <w:rPr>
                <w:rFonts w:hint="eastAsia" w:ascii="宋体" w:hAnsi="宋体" w:eastAsia="宋体" w:cs="宋体"/>
                <w:color w:val="auto"/>
                <w:szCs w:val="21"/>
                <w:highlight w:val="none"/>
                <w:u w:val="none"/>
                <w:lang w:eastAsia="zh-CN"/>
              </w:rPr>
              <w:t>【2002】1980号文标准的80%计取，由中标单位在领取中标通知书的同时一次性交纳。</w:t>
            </w:r>
          </w:p>
        </w:tc>
      </w:tr>
      <w:tr w14:paraId="0C15E3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3840" w:type="dxa"/>
            <w:gridSpan w:val="2"/>
            <w:tcBorders>
              <w:top w:val="single" w:color="auto" w:sz="6" w:space="0"/>
              <w:left w:val="double" w:color="auto" w:sz="4" w:space="0"/>
              <w:bottom w:val="single" w:color="auto" w:sz="6" w:space="0"/>
              <w:right w:val="single" w:color="auto" w:sz="6" w:space="0"/>
            </w:tcBorders>
            <w:vAlign w:val="center"/>
          </w:tcPr>
          <w:p w14:paraId="4D3E0A2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定点</w:t>
            </w:r>
            <w:r>
              <w:rPr>
                <w:rFonts w:hint="eastAsia" w:ascii="宋体" w:hAnsi="宋体" w:eastAsia="宋体" w:cs="宋体"/>
                <w:color w:val="auto"/>
                <w:highlight w:val="none"/>
                <w:lang w:val="en-US" w:eastAsia="zh-CN"/>
              </w:rPr>
              <w:t>采购项目</w:t>
            </w:r>
            <w:r>
              <w:rPr>
                <w:rFonts w:hint="eastAsia" w:ascii="宋体" w:hAnsi="宋体" w:eastAsia="宋体" w:cs="宋体"/>
                <w:color w:val="auto"/>
                <w:highlight w:val="none"/>
              </w:rPr>
              <w:t>价格波动谅解机制</w:t>
            </w:r>
          </w:p>
        </w:tc>
        <w:tc>
          <w:tcPr>
            <w:tcW w:w="5380" w:type="dxa"/>
            <w:tcBorders>
              <w:top w:val="single" w:color="auto" w:sz="6" w:space="0"/>
              <w:left w:val="single" w:color="auto" w:sz="6" w:space="0"/>
              <w:bottom w:val="single" w:color="auto" w:sz="6" w:space="0"/>
              <w:right w:val="double" w:color="auto" w:sz="4" w:space="0"/>
            </w:tcBorders>
            <w:vAlign w:val="center"/>
          </w:tcPr>
          <w:p w14:paraId="37B78DB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响应文件中标明的价格在合同执行过程中是固定不变的，不得以任何理由予以变更。以可变动价格提交的报价将被认为是非实质响应而被拒绝。</w:t>
            </w:r>
          </w:p>
          <w:p w14:paraId="11F0844D">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按照《</w:t>
            </w:r>
            <w:r>
              <w:rPr>
                <w:rFonts w:hint="eastAsia" w:ascii="宋体" w:hAnsi="宋体" w:cs="宋体"/>
                <w:color w:val="auto"/>
                <w:szCs w:val="21"/>
                <w:highlight w:val="none"/>
                <w:lang w:val="en-US" w:eastAsia="zh-CN"/>
              </w:rPr>
              <w:t>长沙市排水有限责任公司</w:t>
            </w:r>
            <w:r>
              <w:rPr>
                <w:rFonts w:hint="eastAsia" w:ascii="宋体" w:hAnsi="宋体" w:eastAsia="宋体" w:cs="宋体"/>
                <w:color w:val="auto"/>
                <w:szCs w:val="21"/>
                <w:highlight w:val="none"/>
                <w:lang w:val="en-US" w:eastAsia="zh-CN"/>
              </w:rPr>
              <w:t>价格调整管理办法》执行。</w:t>
            </w:r>
          </w:p>
          <w:p w14:paraId="74624AD0">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合同签订后6个月内</w:t>
            </w:r>
            <w:r>
              <w:rPr>
                <w:rFonts w:hint="eastAsia" w:ascii="宋体" w:hAnsi="宋体" w:eastAsia="宋体" w:cs="宋体"/>
                <w:color w:val="auto"/>
                <w:szCs w:val="21"/>
                <w:highlight w:val="none"/>
                <w:lang w:val="en-US" w:eastAsia="zh-CN"/>
              </w:rPr>
              <w:t>本合同价</w:t>
            </w:r>
            <w:r>
              <w:rPr>
                <w:rFonts w:hint="eastAsia" w:ascii="宋体" w:hAnsi="宋体" w:eastAsia="宋体" w:cs="宋体"/>
                <w:color w:val="auto"/>
                <w:szCs w:val="21"/>
                <w:highlight w:val="none"/>
              </w:rPr>
              <w:t>不</w:t>
            </w:r>
            <w:r>
              <w:rPr>
                <w:rFonts w:hint="eastAsia" w:ascii="宋体" w:hAnsi="宋体" w:eastAsia="宋体" w:cs="宋体"/>
                <w:color w:val="auto"/>
                <w:szCs w:val="21"/>
                <w:highlight w:val="none"/>
                <w:lang w:val="en-US" w:eastAsia="zh-CN"/>
              </w:rPr>
              <w:t>因任何原因而</w:t>
            </w:r>
            <w:r>
              <w:rPr>
                <w:rFonts w:hint="eastAsia" w:ascii="宋体" w:hAnsi="宋体" w:eastAsia="宋体" w:cs="宋体"/>
                <w:color w:val="auto"/>
                <w:szCs w:val="21"/>
                <w:highlight w:val="none"/>
              </w:rPr>
              <w:t>调整。</w:t>
            </w:r>
            <w:r>
              <w:rPr>
                <w:rFonts w:hint="eastAsia" w:ascii="宋体" w:hAnsi="宋体" w:eastAsia="宋体" w:cs="宋体"/>
                <w:color w:val="auto"/>
                <w:szCs w:val="21"/>
                <w:highlight w:val="none"/>
                <w:lang w:val="en-US" w:eastAsia="zh-CN"/>
              </w:rPr>
              <w:t>6个月后</w:t>
            </w:r>
            <w:r>
              <w:rPr>
                <w:rFonts w:hint="eastAsia" w:ascii="宋体" w:hAnsi="宋体" w:eastAsia="宋体" w:cs="宋体"/>
                <w:color w:val="auto"/>
                <w:szCs w:val="21"/>
                <w:highlight w:val="none"/>
              </w:rPr>
              <w:t>当出现以下两种情况</w:t>
            </w:r>
            <w:r>
              <w:rPr>
                <w:rFonts w:hint="eastAsia" w:ascii="宋体" w:hAnsi="宋体" w:eastAsia="宋体" w:cs="宋体"/>
                <w:color w:val="auto"/>
                <w:szCs w:val="21"/>
                <w:highlight w:val="none"/>
                <w:lang w:val="en-US" w:eastAsia="zh-CN"/>
              </w:rPr>
              <w:t>之一的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双方可协商调整合同价格，并另行签订补充协议</w:t>
            </w:r>
            <w:r>
              <w:rPr>
                <w:rFonts w:hint="eastAsia" w:ascii="宋体" w:hAnsi="宋体" w:eastAsia="宋体" w:cs="宋体"/>
                <w:color w:val="auto"/>
                <w:szCs w:val="21"/>
                <w:highlight w:val="none"/>
              </w:rPr>
              <w:t>（但若双方未就调整合同价格协商达成一致，双方仍应依照本合同约定价格履行）：</w:t>
            </w:r>
          </w:p>
          <w:p w14:paraId="2A81A70C">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① </w:t>
            </w:r>
            <w:r>
              <w:rPr>
                <w:rFonts w:hint="eastAsia" w:ascii="宋体" w:hAnsi="宋体" w:eastAsia="宋体" w:cs="宋体"/>
                <w:color w:val="auto"/>
                <w:szCs w:val="21"/>
                <w:highlight w:val="none"/>
              </w:rPr>
              <w:t>根据产品市场月均价格监测情况，以及合同执行期间的供货量，当合同执行期间市场行情对比合同实付金额盈/亏比例超过10%，可以启动价格调整程序。</w:t>
            </w:r>
          </w:p>
          <w:p w14:paraId="62A8AA23">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drawing>
                <wp:inline distT="0" distB="0" distL="114300" distR="114300">
                  <wp:extent cx="3262630" cy="349885"/>
                  <wp:effectExtent l="0" t="0" r="13970"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3262630" cy="349885"/>
                          </a:xfrm>
                          <a:prstGeom prst="rect">
                            <a:avLst/>
                          </a:prstGeom>
                          <a:noFill/>
                          <a:ln>
                            <a:noFill/>
                          </a:ln>
                        </pic:spPr>
                      </pic:pic>
                    </a:graphicData>
                  </a:graphic>
                </wp:inline>
              </w:drawing>
            </w:r>
          </w:p>
          <w:p w14:paraId="39E7BDF2">
            <w:pPr>
              <w:pStyle w:val="22"/>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② </w:t>
            </w:r>
            <w:r>
              <w:rPr>
                <w:rFonts w:hint="eastAsia" w:ascii="宋体" w:hAnsi="宋体" w:eastAsia="宋体" w:cs="宋体"/>
                <w:color w:val="auto"/>
                <w:szCs w:val="21"/>
                <w:highlight w:val="none"/>
              </w:rPr>
              <w:t>其他需要</w:t>
            </w:r>
            <w:r>
              <w:rPr>
                <w:rFonts w:hint="eastAsia" w:ascii="宋体" w:hAnsi="宋体" w:eastAsia="宋体" w:cs="宋体"/>
                <w:color w:val="auto"/>
                <w:szCs w:val="21"/>
                <w:highlight w:val="none"/>
                <w:lang w:val="en-US" w:eastAsia="zh-CN"/>
              </w:rPr>
              <w:t>调整</w:t>
            </w:r>
            <w:r>
              <w:rPr>
                <w:rFonts w:hint="eastAsia" w:ascii="宋体" w:hAnsi="宋体" w:eastAsia="宋体" w:cs="宋体"/>
                <w:color w:val="auto"/>
                <w:szCs w:val="21"/>
                <w:highlight w:val="none"/>
              </w:rPr>
              <w:t>价格的</w:t>
            </w:r>
            <w:r>
              <w:rPr>
                <w:rFonts w:hint="eastAsia" w:ascii="宋体" w:hAnsi="宋体" w:eastAsia="宋体" w:cs="宋体"/>
                <w:color w:val="auto"/>
                <w:szCs w:val="21"/>
                <w:highlight w:val="none"/>
                <w:lang w:val="en-US" w:eastAsia="zh-CN"/>
              </w:rPr>
              <w:t>特殊</w:t>
            </w:r>
            <w:r>
              <w:rPr>
                <w:rFonts w:hint="eastAsia" w:ascii="宋体" w:hAnsi="宋体" w:eastAsia="宋体" w:cs="宋体"/>
                <w:color w:val="auto"/>
                <w:szCs w:val="21"/>
                <w:highlight w:val="none"/>
              </w:rPr>
              <w:t>情况。</w:t>
            </w:r>
          </w:p>
        </w:tc>
      </w:tr>
      <w:tr w14:paraId="238A94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2" w:hRule="atLeast"/>
          <w:jc w:val="center"/>
        </w:trPr>
        <w:tc>
          <w:tcPr>
            <w:tcW w:w="3840" w:type="dxa"/>
            <w:gridSpan w:val="2"/>
            <w:tcBorders>
              <w:top w:val="single" w:color="auto" w:sz="6" w:space="0"/>
              <w:left w:val="double" w:color="auto" w:sz="4" w:space="0"/>
              <w:bottom w:val="single" w:color="auto" w:sz="6" w:space="0"/>
              <w:right w:val="single" w:color="auto" w:sz="6" w:space="0"/>
            </w:tcBorders>
            <w:vAlign w:val="center"/>
          </w:tcPr>
          <w:p w14:paraId="188C283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付款方式</w:t>
            </w:r>
          </w:p>
        </w:tc>
        <w:tc>
          <w:tcPr>
            <w:tcW w:w="5380" w:type="dxa"/>
            <w:tcBorders>
              <w:top w:val="single" w:color="auto" w:sz="6" w:space="0"/>
              <w:left w:val="single" w:color="auto" w:sz="6" w:space="0"/>
              <w:bottom w:val="single" w:color="auto" w:sz="6" w:space="0"/>
              <w:right w:val="double" w:color="auto" w:sz="4" w:space="0"/>
            </w:tcBorders>
            <w:vAlign w:val="center"/>
          </w:tcPr>
          <w:p w14:paraId="59BAB0D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0" w:firstLineChars="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详见采购需求。</w:t>
            </w:r>
          </w:p>
          <w:p w14:paraId="09A93D4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0" w:firstLineChars="0"/>
              <w:textAlignment w:val="auto"/>
              <w:rPr>
                <w:rFonts w:hint="eastAsia"/>
                <w:color w:val="auto"/>
                <w:highlight w:val="none"/>
                <w:lang w:eastAsia="zh-CN"/>
              </w:rPr>
            </w:pPr>
            <w:r>
              <w:rPr>
                <w:rFonts w:hint="eastAsia" w:ascii="宋体" w:hAnsi="宋体" w:eastAsia="宋体" w:cs="宋体"/>
                <w:color w:val="auto"/>
                <w:highlight w:val="none"/>
                <w:lang w:eastAsia="zh-CN"/>
              </w:rPr>
              <w:t>合同履行期间，如果税收相关法律法规政策有所调整，税金部分以最新规定的税率为准,不含税金额不变，前期按合同约定已开具的增值税发票及税额不再追溯调整。</w:t>
            </w:r>
          </w:p>
        </w:tc>
      </w:tr>
      <w:tr w14:paraId="52430D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3840" w:type="dxa"/>
            <w:gridSpan w:val="2"/>
            <w:tcBorders>
              <w:top w:val="single" w:color="auto" w:sz="6" w:space="0"/>
              <w:left w:val="double" w:color="auto" w:sz="4" w:space="0"/>
              <w:bottom w:val="double" w:color="auto" w:sz="4" w:space="0"/>
              <w:right w:val="single" w:color="auto" w:sz="6" w:space="0"/>
            </w:tcBorders>
            <w:vAlign w:val="center"/>
          </w:tcPr>
          <w:p w14:paraId="708F73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highlight w:val="none"/>
                <w:lang w:val="en-US" w:eastAsia="zh-CN"/>
              </w:rPr>
            </w:pPr>
            <w:bookmarkStart w:id="16" w:name="_Toc7101_WPSOffice_Level2"/>
            <w:bookmarkStart w:id="17" w:name="_Toc6727"/>
            <w:bookmarkStart w:id="18" w:name="_Toc11430"/>
            <w:r>
              <w:rPr>
                <w:rFonts w:hint="eastAsia" w:ascii="宋体" w:hAnsi="宋体" w:eastAsia="宋体" w:cs="宋体"/>
                <w:color w:val="auto"/>
                <w:highlight w:val="none"/>
                <w:lang w:val="en-US" w:eastAsia="zh-CN"/>
              </w:rPr>
              <w:t>其他事项</w:t>
            </w:r>
          </w:p>
        </w:tc>
        <w:tc>
          <w:tcPr>
            <w:tcW w:w="5380" w:type="dxa"/>
            <w:tcBorders>
              <w:top w:val="single" w:color="auto" w:sz="6" w:space="0"/>
              <w:left w:val="single" w:color="auto" w:sz="6" w:space="0"/>
              <w:bottom w:val="double" w:color="auto" w:sz="4" w:space="0"/>
              <w:right w:val="double" w:color="auto" w:sz="4" w:space="0"/>
            </w:tcBorders>
            <w:vAlign w:val="center"/>
          </w:tcPr>
          <w:p w14:paraId="0424EB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宋体" w:hAnsi="宋体" w:eastAsia="宋体" w:cs="宋体"/>
                <w:b w:val="0"/>
                <w:bCs w:val="0"/>
                <w:i w:val="0"/>
                <w:iCs w:val="0"/>
                <w:color w:val="auto"/>
                <w:spacing w:val="0"/>
                <w:position w:val="0"/>
                <w:sz w:val="21"/>
                <w:szCs w:val="21"/>
                <w:highlight w:val="none"/>
                <w:lang w:val="en-US" w:eastAsia="zh-CN"/>
              </w:rPr>
            </w:pPr>
            <w:r>
              <w:rPr>
                <w:rFonts w:hint="eastAsia" w:ascii="宋体" w:hAnsi="宋体" w:eastAsia="宋体" w:cs="宋体"/>
                <w:b w:val="0"/>
                <w:bCs w:val="0"/>
                <w:i w:val="0"/>
                <w:iCs w:val="0"/>
                <w:color w:val="auto"/>
                <w:spacing w:val="0"/>
                <w:position w:val="0"/>
                <w:sz w:val="21"/>
                <w:szCs w:val="21"/>
                <w:highlight w:val="none"/>
                <w:lang w:val="en-US" w:eastAsia="zh-CN"/>
              </w:rPr>
              <w:t>存在以下情形的供应商，将纳入集团黑名单，合同立即终止，2年内不得参加集团任何自主采购项目。</w:t>
            </w:r>
          </w:p>
          <w:p w14:paraId="1DD78D3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宋体" w:hAnsi="宋体" w:eastAsia="宋体" w:cs="宋体"/>
                <w:b w:val="0"/>
                <w:bCs w:val="0"/>
                <w:i w:val="0"/>
                <w:iCs w:val="0"/>
                <w:color w:val="auto"/>
                <w:spacing w:val="0"/>
                <w:position w:val="0"/>
                <w:sz w:val="21"/>
                <w:szCs w:val="21"/>
                <w:highlight w:val="none"/>
                <w:lang w:val="en-US" w:eastAsia="zh-CN"/>
              </w:rPr>
            </w:pPr>
            <w:r>
              <w:rPr>
                <w:rFonts w:hint="eastAsia" w:ascii="宋体" w:hAnsi="宋体" w:eastAsia="宋体" w:cs="宋体"/>
                <w:b w:val="0"/>
                <w:bCs w:val="0"/>
                <w:i w:val="0"/>
                <w:iCs w:val="0"/>
                <w:color w:val="auto"/>
                <w:spacing w:val="0"/>
                <w:position w:val="0"/>
                <w:sz w:val="21"/>
                <w:szCs w:val="21"/>
                <w:highlight w:val="none"/>
                <w:lang w:val="en-US" w:eastAsia="zh-CN"/>
              </w:rPr>
              <w:t>（一）以不当手段谋取中标资格的；</w:t>
            </w:r>
          </w:p>
          <w:p w14:paraId="701CBC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宋体" w:hAnsi="宋体" w:eastAsia="宋体" w:cs="宋体"/>
                <w:b w:val="0"/>
                <w:bCs w:val="0"/>
                <w:i w:val="0"/>
                <w:iCs w:val="0"/>
                <w:color w:val="auto"/>
                <w:spacing w:val="0"/>
                <w:position w:val="0"/>
                <w:sz w:val="21"/>
                <w:szCs w:val="21"/>
                <w:highlight w:val="none"/>
                <w:lang w:val="en-US" w:eastAsia="zh-CN"/>
              </w:rPr>
            </w:pPr>
            <w:r>
              <w:rPr>
                <w:rFonts w:hint="eastAsia" w:ascii="宋体" w:hAnsi="宋体" w:eastAsia="宋体" w:cs="宋体"/>
                <w:b w:val="0"/>
                <w:bCs w:val="0"/>
                <w:i w:val="0"/>
                <w:iCs w:val="0"/>
                <w:color w:val="auto"/>
                <w:spacing w:val="0"/>
                <w:position w:val="0"/>
                <w:sz w:val="21"/>
                <w:szCs w:val="21"/>
                <w:highlight w:val="none"/>
                <w:lang w:val="en-US" w:eastAsia="zh-CN"/>
              </w:rPr>
              <w:t>（二）参与围标串标的，同时没收其投标保证金；</w:t>
            </w:r>
          </w:p>
          <w:p w14:paraId="210783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宋体" w:hAnsi="宋体" w:eastAsia="宋体" w:cs="宋体"/>
                <w:b w:val="0"/>
                <w:bCs w:val="0"/>
                <w:i w:val="0"/>
                <w:iCs w:val="0"/>
                <w:color w:val="auto"/>
                <w:spacing w:val="0"/>
                <w:position w:val="0"/>
                <w:sz w:val="21"/>
                <w:szCs w:val="21"/>
                <w:highlight w:val="none"/>
                <w:lang w:val="en-US" w:eastAsia="zh-CN"/>
              </w:rPr>
            </w:pPr>
            <w:r>
              <w:rPr>
                <w:rFonts w:hint="eastAsia" w:ascii="宋体" w:hAnsi="宋体" w:eastAsia="宋体" w:cs="宋体"/>
                <w:b w:val="0"/>
                <w:bCs w:val="0"/>
                <w:i w:val="0"/>
                <w:iCs w:val="0"/>
                <w:color w:val="auto"/>
                <w:spacing w:val="0"/>
                <w:position w:val="0"/>
                <w:sz w:val="21"/>
                <w:szCs w:val="21"/>
                <w:highlight w:val="none"/>
                <w:lang w:val="en-US" w:eastAsia="zh-CN"/>
              </w:rPr>
              <w:t>（三）无故不签订合同或拖延导致合同无法签订的；</w:t>
            </w:r>
          </w:p>
          <w:p w14:paraId="6D3D70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宋体" w:hAnsi="宋体" w:eastAsia="宋体" w:cs="宋体"/>
                <w:b w:val="0"/>
                <w:bCs w:val="0"/>
                <w:i w:val="0"/>
                <w:iCs w:val="0"/>
                <w:color w:val="auto"/>
                <w:spacing w:val="0"/>
                <w:position w:val="0"/>
                <w:sz w:val="21"/>
                <w:szCs w:val="21"/>
                <w:highlight w:val="none"/>
                <w:lang w:val="en-US" w:eastAsia="zh-CN"/>
              </w:rPr>
            </w:pPr>
            <w:r>
              <w:rPr>
                <w:rFonts w:hint="eastAsia" w:ascii="宋体" w:hAnsi="宋体" w:eastAsia="宋体" w:cs="宋体"/>
                <w:b w:val="0"/>
                <w:bCs w:val="0"/>
                <w:i w:val="0"/>
                <w:iCs w:val="0"/>
                <w:color w:val="auto"/>
                <w:spacing w:val="0"/>
                <w:position w:val="0"/>
                <w:sz w:val="21"/>
                <w:szCs w:val="21"/>
                <w:highlight w:val="none"/>
                <w:lang w:val="en-US" w:eastAsia="zh-CN"/>
              </w:rPr>
              <w:t>（四）合同履行期间存在产品或服务质量问题的，拒绝整改、整改不到位对我司生产经营造成较大影响的；</w:t>
            </w:r>
          </w:p>
          <w:p w14:paraId="5D2FCD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宋体" w:hAnsi="宋体" w:eastAsia="宋体" w:cs="宋体"/>
                <w:b w:val="0"/>
                <w:bCs w:val="0"/>
                <w:i w:val="0"/>
                <w:iCs w:val="0"/>
                <w:color w:val="auto"/>
                <w:spacing w:val="0"/>
                <w:position w:val="0"/>
                <w:sz w:val="21"/>
                <w:szCs w:val="21"/>
                <w:highlight w:val="none"/>
                <w:lang w:val="en-US" w:eastAsia="zh-CN"/>
              </w:rPr>
            </w:pPr>
            <w:r>
              <w:rPr>
                <w:rFonts w:hint="eastAsia" w:ascii="宋体" w:hAnsi="宋体" w:eastAsia="宋体" w:cs="宋体"/>
                <w:b w:val="0"/>
                <w:bCs w:val="0"/>
                <w:i w:val="0"/>
                <w:iCs w:val="0"/>
                <w:color w:val="auto"/>
                <w:spacing w:val="0"/>
                <w:position w:val="0"/>
                <w:sz w:val="21"/>
                <w:szCs w:val="21"/>
                <w:highlight w:val="none"/>
                <w:lang w:val="en-US" w:eastAsia="zh-CN"/>
              </w:rPr>
              <w:t>（五）与其他供应商串通或利用市场优势地位，谋求不正当利益的；</w:t>
            </w:r>
          </w:p>
          <w:p w14:paraId="674CDA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宋体" w:hAnsi="宋体" w:eastAsia="宋体" w:cs="宋体"/>
                <w:b w:val="0"/>
                <w:bCs w:val="0"/>
                <w:i w:val="0"/>
                <w:iCs w:val="0"/>
                <w:color w:val="auto"/>
                <w:spacing w:val="0"/>
                <w:position w:val="0"/>
                <w:sz w:val="21"/>
                <w:szCs w:val="21"/>
                <w:highlight w:val="none"/>
                <w:lang w:val="en-US" w:eastAsia="zh-CN"/>
              </w:rPr>
            </w:pPr>
            <w:r>
              <w:rPr>
                <w:rFonts w:hint="eastAsia" w:ascii="宋体" w:hAnsi="宋体" w:eastAsia="宋体" w:cs="宋体"/>
                <w:b w:val="0"/>
                <w:bCs w:val="0"/>
                <w:i w:val="0"/>
                <w:iCs w:val="0"/>
                <w:color w:val="auto"/>
                <w:spacing w:val="0"/>
                <w:position w:val="0"/>
                <w:sz w:val="21"/>
                <w:szCs w:val="21"/>
                <w:highlight w:val="none"/>
                <w:lang w:val="en-US" w:eastAsia="zh-CN"/>
              </w:rPr>
              <w:t>（六）符合降价条件的，供应商拒不同意降价且不提供相关证明资料的；</w:t>
            </w:r>
          </w:p>
          <w:p w14:paraId="46353F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宋体" w:hAnsi="宋体" w:eastAsia="宋体" w:cs="宋体"/>
                <w:b w:val="0"/>
                <w:bCs w:val="0"/>
                <w:i w:val="0"/>
                <w:iCs w:val="0"/>
                <w:color w:val="auto"/>
                <w:spacing w:val="0"/>
                <w:position w:val="0"/>
                <w:sz w:val="21"/>
                <w:szCs w:val="21"/>
                <w:highlight w:val="none"/>
                <w:lang w:val="en-US" w:eastAsia="zh-CN"/>
              </w:rPr>
            </w:pPr>
            <w:r>
              <w:rPr>
                <w:rFonts w:hint="eastAsia" w:ascii="宋体" w:hAnsi="宋体" w:eastAsia="宋体" w:cs="宋体"/>
                <w:b w:val="0"/>
                <w:bCs w:val="0"/>
                <w:i w:val="0"/>
                <w:iCs w:val="0"/>
                <w:color w:val="auto"/>
                <w:spacing w:val="0"/>
                <w:position w:val="0"/>
                <w:sz w:val="21"/>
                <w:szCs w:val="21"/>
                <w:highlight w:val="none"/>
                <w:lang w:val="en-US" w:eastAsia="zh-CN"/>
              </w:rPr>
              <w:t>（七）考核评分低于60分的；</w:t>
            </w:r>
          </w:p>
          <w:p w14:paraId="256780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宋体" w:hAnsi="宋体" w:eastAsia="宋体" w:cs="宋体"/>
                <w:b w:val="0"/>
                <w:bCs w:val="0"/>
                <w:i w:val="0"/>
                <w:iCs w:val="0"/>
                <w:color w:val="auto"/>
                <w:spacing w:val="0"/>
                <w:position w:val="0"/>
                <w:sz w:val="21"/>
                <w:szCs w:val="21"/>
                <w:highlight w:val="none"/>
                <w:lang w:val="en-US" w:eastAsia="zh-CN"/>
              </w:rPr>
            </w:pPr>
            <w:r>
              <w:rPr>
                <w:rFonts w:hint="eastAsia" w:ascii="宋体" w:hAnsi="宋体" w:eastAsia="宋体" w:cs="宋体"/>
                <w:b w:val="0"/>
                <w:bCs w:val="0"/>
                <w:i w:val="0"/>
                <w:iCs w:val="0"/>
                <w:color w:val="auto"/>
                <w:spacing w:val="0"/>
                <w:position w:val="0"/>
                <w:sz w:val="21"/>
                <w:szCs w:val="21"/>
                <w:highlight w:val="none"/>
                <w:lang w:val="en-US" w:eastAsia="zh-CN"/>
              </w:rPr>
              <w:t>（八）被纳入失信名单或存在其他违反诚实信用行为影响合同继续履行的；</w:t>
            </w:r>
          </w:p>
          <w:p w14:paraId="1F1A1FC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宋体" w:hAnsi="宋体" w:eastAsia="宋体" w:cs="宋体"/>
                <w:b w:val="0"/>
                <w:bCs w:val="0"/>
                <w:i w:val="0"/>
                <w:iCs w:val="0"/>
                <w:color w:val="auto"/>
                <w:spacing w:val="0"/>
                <w:position w:val="0"/>
                <w:sz w:val="21"/>
                <w:szCs w:val="21"/>
                <w:highlight w:val="none"/>
                <w:lang w:val="en-US" w:eastAsia="zh-CN"/>
              </w:rPr>
            </w:pPr>
            <w:r>
              <w:rPr>
                <w:rFonts w:hint="eastAsia" w:ascii="宋体" w:hAnsi="宋体" w:eastAsia="宋体" w:cs="宋体"/>
                <w:b w:val="0"/>
                <w:bCs w:val="0"/>
                <w:i w:val="0"/>
                <w:iCs w:val="0"/>
                <w:color w:val="auto"/>
                <w:spacing w:val="0"/>
                <w:position w:val="0"/>
                <w:sz w:val="21"/>
                <w:szCs w:val="21"/>
                <w:highlight w:val="none"/>
                <w:lang w:val="en-US" w:eastAsia="zh-CN"/>
              </w:rPr>
              <w:t>（九）存在违约行为，导致合同无法履行的；</w:t>
            </w:r>
          </w:p>
          <w:p w14:paraId="424D3B6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宋体" w:hAnsi="宋体" w:eastAsia="宋体" w:cs="宋体"/>
                <w:b w:val="0"/>
                <w:bCs w:val="0"/>
                <w:i w:val="0"/>
                <w:iCs w:val="0"/>
                <w:color w:val="auto"/>
                <w:spacing w:val="0"/>
                <w:position w:val="0"/>
                <w:sz w:val="21"/>
                <w:szCs w:val="21"/>
                <w:highlight w:val="none"/>
                <w:lang w:val="en-US" w:eastAsia="zh-CN"/>
              </w:rPr>
            </w:pPr>
            <w:r>
              <w:rPr>
                <w:rFonts w:hint="eastAsia" w:ascii="宋体" w:hAnsi="宋体" w:eastAsia="宋体" w:cs="宋体"/>
                <w:b w:val="0"/>
                <w:bCs w:val="0"/>
                <w:i w:val="0"/>
                <w:iCs w:val="0"/>
                <w:color w:val="auto"/>
                <w:spacing w:val="0"/>
                <w:position w:val="0"/>
                <w:sz w:val="21"/>
                <w:szCs w:val="21"/>
                <w:highlight w:val="none"/>
                <w:lang w:val="en-US" w:eastAsia="zh-CN"/>
              </w:rPr>
              <w:t>（十）存在行贿等其他违法违纪行为的。</w:t>
            </w:r>
          </w:p>
        </w:tc>
      </w:tr>
    </w:tbl>
    <w:p w14:paraId="3583E2B2">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6616FBDC">
      <w:pPr>
        <w:jc w:val="both"/>
        <w:outlineLvl w:val="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附页1</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 xml:space="preserve"> 评分细则</w:t>
      </w:r>
    </w:p>
    <w:bookmarkEnd w:id="16"/>
    <w:bookmarkEnd w:id="17"/>
    <w:bookmarkEnd w:id="18"/>
    <w:tbl>
      <w:tblPr>
        <w:tblStyle w:val="44"/>
        <w:tblW w:w="9198" w:type="dxa"/>
        <w:jc w:val="center"/>
        <w:tblLayout w:type="autofit"/>
        <w:tblCellMar>
          <w:top w:w="0" w:type="dxa"/>
          <w:left w:w="108" w:type="dxa"/>
          <w:bottom w:w="0" w:type="dxa"/>
          <w:right w:w="108" w:type="dxa"/>
        </w:tblCellMar>
      </w:tblPr>
      <w:tblGrid>
        <w:gridCol w:w="802"/>
        <w:gridCol w:w="1050"/>
        <w:gridCol w:w="763"/>
        <w:gridCol w:w="5700"/>
        <w:gridCol w:w="883"/>
      </w:tblGrid>
      <w:tr w14:paraId="76B9E2F6">
        <w:tblPrEx>
          <w:tblCellMar>
            <w:top w:w="0" w:type="dxa"/>
            <w:left w:w="108" w:type="dxa"/>
            <w:bottom w:w="0" w:type="dxa"/>
            <w:right w:w="108" w:type="dxa"/>
          </w:tblCellMar>
        </w:tblPrEx>
        <w:trPr>
          <w:trHeight w:val="558"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786ED850">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bookmarkStart w:id="19" w:name="_Toc14056_WPSOffice_Level2"/>
            <w:r>
              <w:rPr>
                <w:rFonts w:hint="eastAsia" w:ascii="宋体" w:hAnsi="宋体" w:eastAsia="宋体" w:cs="宋体"/>
                <w:b/>
                <w:bCs/>
                <w:color w:val="auto"/>
                <w:sz w:val="21"/>
                <w:szCs w:val="21"/>
                <w:highlight w:val="none"/>
                <w:lang w:bidi="ar"/>
              </w:rPr>
              <w:t>评分项目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6C57F1">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评审</w:t>
            </w:r>
          </w:p>
          <w:p w14:paraId="58EDDF44">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因素</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26C87549">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最高分值</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64CDD271">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评分标准</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01D2F9C">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计分</w:t>
            </w:r>
          </w:p>
          <w:p w14:paraId="5071BAFA">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方式</w:t>
            </w:r>
          </w:p>
        </w:tc>
      </w:tr>
      <w:tr w14:paraId="444D2458">
        <w:tblPrEx>
          <w:tblCellMar>
            <w:top w:w="0" w:type="dxa"/>
            <w:left w:w="108" w:type="dxa"/>
            <w:bottom w:w="0" w:type="dxa"/>
            <w:right w:w="108" w:type="dxa"/>
          </w:tblCellMar>
        </w:tblPrEx>
        <w:trPr>
          <w:trHeight w:val="572"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2105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商务评分（40分）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F893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信用等级</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F69E2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4C89B9D5">
            <w:pPr>
              <w:keepNext w:val="0"/>
              <w:keepLines w:val="0"/>
              <w:suppressLineNumbers w:val="0"/>
              <w:spacing w:before="0" w:beforeLines="0" w:beforeAutospacing="0" w:after="0" w:afterLines="0" w:afterAutospacing="0" w:line="320" w:lineRule="exact"/>
              <w:ind w:left="0" w:right="0"/>
              <w:rPr>
                <w:rFonts w:hint="default" w:ascii="宋体" w:hAnsi="宋体" w:cs="宋体"/>
                <w:sz w:val="21"/>
                <w:szCs w:val="21"/>
                <w:lang w:bidi="ar"/>
              </w:rPr>
            </w:pPr>
            <w:r>
              <w:rPr>
                <w:rFonts w:hint="default" w:ascii="宋体" w:hAnsi="宋体" w:cs="宋体"/>
                <w:sz w:val="21"/>
                <w:szCs w:val="21"/>
                <w:lang w:bidi="ar"/>
              </w:rPr>
              <w:t>信用等级为AAA级计5分、AA级计4分、A级计3分，A级以下计2分，B级以下计1分</w:t>
            </w:r>
            <w:r>
              <w:rPr>
                <w:rFonts w:hint="default" w:ascii="宋体" w:hAnsi="宋体" w:cs="宋体"/>
                <w:sz w:val="21"/>
                <w:szCs w:val="21"/>
              </w:rPr>
              <w:t>，未提供的不予计分。</w:t>
            </w:r>
          </w:p>
          <w:p w14:paraId="00BF7CCC">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color w:val="auto"/>
                <w:sz w:val="21"/>
                <w:szCs w:val="21"/>
                <w:highlight w:val="none"/>
              </w:rPr>
            </w:pPr>
            <w:r>
              <w:rPr>
                <w:rFonts w:hint="default" w:ascii="宋体" w:hAnsi="宋体" w:cs="宋体"/>
                <w:sz w:val="21"/>
                <w:szCs w:val="21"/>
                <w:lang w:bidi="ar"/>
              </w:rPr>
              <w:t>（提供相关证明材料扫描件并加盖投标人单位公章，否则不计分）。</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1C85E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0-5</w:t>
            </w:r>
          </w:p>
        </w:tc>
      </w:tr>
      <w:tr w14:paraId="4BF83558">
        <w:tblPrEx>
          <w:tblCellMar>
            <w:top w:w="0" w:type="dxa"/>
            <w:left w:w="108" w:type="dxa"/>
            <w:bottom w:w="0" w:type="dxa"/>
            <w:right w:w="108" w:type="dxa"/>
          </w:tblCellMar>
        </w:tblPrEx>
        <w:trPr>
          <w:trHeight w:val="90"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CC5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CC18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类似业绩</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188B42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bidi="ar"/>
              </w:rPr>
              <w:t>20</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33ADCB06">
            <w:pPr>
              <w:keepNext w:val="0"/>
              <w:keepLines w:val="0"/>
              <w:suppressLineNumbers w:val="0"/>
              <w:spacing w:before="0" w:beforeLines="0" w:beforeAutospacing="0" w:after="0" w:afterLines="0" w:afterAutospacing="0" w:line="320" w:lineRule="exact"/>
              <w:ind w:left="0" w:right="0"/>
              <w:rPr>
                <w:rFonts w:hint="default" w:ascii="宋体" w:hAnsi="宋体" w:cs="宋体"/>
                <w:color w:val="auto"/>
                <w:sz w:val="21"/>
                <w:szCs w:val="21"/>
              </w:rPr>
            </w:pPr>
            <w:r>
              <w:rPr>
                <w:rFonts w:hint="default" w:ascii="宋体" w:hAnsi="宋体" w:cs="宋体"/>
                <w:color w:val="auto"/>
                <w:sz w:val="21"/>
                <w:szCs w:val="21"/>
              </w:rPr>
              <w:t>供应商近3年任意自然年度（即202</w:t>
            </w:r>
            <w:r>
              <w:rPr>
                <w:rFonts w:hint="eastAsia" w:ascii="宋体" w:hAnsi="宋体" w:cs="宋体"/>
                <w:color w:val="auto"/>
                <w:sz w:val="21"/>
                <w:szCs w:val="21"/>
                <w:lang w:val="en-US" w:eastAsia="zh-CN"/>
              </w:rPr>
              <w:t>3</w:t>
            </w:r>
            <w:r>
              <w:rPr>
                <w:rFonts w:hint="default" w:ascii="宋体" w:hAnsi="宋体" w:cs="宋体"/>
                <w:color w:val="auto"/>
                <w:sz w:val="21"/>
                <w:szCs w:val="21"/>
              </w:rPr>
              <w:t>年1月1日-202</w:t>
            </w:r>
            <w:r>
              <w:rPr>
                <w:rFonts w:hint="eastAsia" w:ascii="宋体" w:hAnsi="宋体" w:cs="宋体"/>
                <w:color w:val="auto"/>
                <w:sz w:val="21"/>
                <w:szCs w:val="21"/>
                <w:lang w:val="en-US" w:eastAsia="zh-CN"/>
              </w:rPr>
              <w:t>3</w:t>
            </w:r>
            <w:r>
              <w:rPr>
                <w:rFonts w:hint="default" w:ascii="宋体" w:hAnsi="宋体" w:cs="宋体"/>
                <w:color w:val="auto"/>
                <w:sz w:val="21"/>
                <w:szCs w:val="21"/>
              </w:rPr>
              <w:t>年12月31日、202</w:t>
            </w:r>
            <w:r>
              <w:rPr>
                <w:rFonts w:hint="eastAsia" w:ascii="宋体" w:hAnsi="宋体" w:cs="宋体"/>
                <w:color w:val="auto"/>
                <w:sz w:val="21"/>
                <w:szCs w:val="21"/>
                <w:lang w:val="en-US" w:eastAsia="zh-CN"/>
              </w:rPr>
              <w:t>4</w:t>
            </w:r>
            <w:r>
              <w:rPr>
                <w:rFonts w:hint="default" w:ascii="宋体" w:hAnsi="宋体" w:cs="宋体"/>
                <w:color w:val="auto"/>
                <w:sz w:val="21"/>
                <w:szCs w:val="21"/>
              </w:rPr>
              <w:t>年1月1日-202</w:t>
            </w:r>
            <w:r>
              <w:rPr>
                <w:rFonts w:hint="eastAsia" w:ascii="宋体" w:hAnsi="宋体" w:cs="宋体"/>
                <w:color w:val="auto"/>
                <w:sz w:val="21"/>
                <w:szCs w:val="21"/>
                <w:lang w:val="en-US" w:eastAsia="zh-CN"/>
              </w:rPr>
              <w:t>4</w:t>
            </w:r>
            <w:r>
              <w:rPr>
                <w:rFonts w:hint="default" w:ascii="宋体" w:hAnsi="宋体" w:cs="宋体"/>
                <w:color w:val="auto"/>
                <w:sz w:val="21"/>
                <w:szCs w:val="21"/>
              </w:rPr>
              <w:t>年12月31日、202</w:t>
            </w:r>
            <w:r>
              <w:rPr>
                <w:rFonts w:hint="eastAsia" w:ascii="宋体" w:hAnsi="宋体" w:cs="宋体"/>
                <w:color w:val="auto"/>
                <w:sz w:val="21"/>
                <w:szCs w:val="21"/>
                <w:lang w:val="en-US" w:eastAsia="zh-CN"/>
              </w:rPr>
              <w:t>5</w:t>
            </w:r>
            <w:r>
              <w:rPr>
                <w:rFonts w:hint="default" w:ascii="宋体" w:hAnsi="宋体" w:cs="宋体"/>
                <w:color w:val="auto"/>
                <w:sz w:val="21"/>
                <w:szCs w:val="21"/>
              </w:rPr>
              <w:t>年1月1日-202</w:t>
            </w:r>
            <w:r>
              <w:rPr>
                <w:rFonts w:hint="eastAsia" w:ascii="宋体" w:hAnsi="宋体" w:cs="宋体"/>
                <w:color w:val="auto"/>
                <w:sz w:val="21"/>
                <w:szCs w:val="21"/>
                <w:lang w:val="en-US" w:eastAsia="zh-CN"/>
              </w:rPr>
              <w:t>5</w:t>
            </w:r>
            <w:r>
              <w:rPr>
                <w:rFonts w:hint="default" w:ascii="宋体" w:hAnsi="宋体" w:cs="宋体"/>
                <w:color w:val="auto"/>
                <w:sz w:val="21"/>
                <w:szCs w:val="21"/>
              </w:rPr>
              <w:t>年12</w:t>
            </w:r>
            <w:r>
              <w:rPr>
                <w:rFonts w:hint="default" w:ascii="宋体" w:hAnsi="宋体" w:cs="宋体"/>
                <w:color w:val="auto"/>
                <w:sz w:val="21"/>
                <w:szCs w:val="21"/>
                <w:highlight w:val="none"/>
              </w:rPr>
              <w:t>月31日中的任意一个年度）承担过类似</w:t>
            </w:r>
            <w:r>
              <w:rPr>
                <w:rFonts w:hint="default" w:ascii="宋体" w:hAnsi="宋体" w:cs="宋体"/>
                <w:sz w:val="21"/>
                <w:szCs w:val="21"/>
                <w:highlight w:val="none"/>
              </w:rPr>
              <w:t>项目</w:t>
            </w:r>
            <w:r>
              <w:rPr>
                <w:rFonts w:hint="default" w:ascii="宋体" w:hAnsi="宋体" w:cs="宋体"/>
                <w:color w:val="auto"/>
                <w:sz w:val="21"/>
                <w:szCs w:val="21"/>
                <w:highlight w:val="none"/>
              </w:rPr>
              <w:t>累计合同不少于</w:t>
            </w:r>
            <w:r>
              <w:rPr>
                <w:rFonts w:hint="eastAsia" w:ascii="宋体" w:hAnsi="宋体" w:cs="宋体"/>
                <w:color w:val="auto"/>
                <w:sz w:val="21"/>
                <w:szCs w:val="21"/>
                <w:highlight w:val="none"/>
                <w:lang w:val="en-US" w:eastAsia="zh-CN"/>
              </w:rPr>
              <w:t>55.72</w:t>
            </w:r>
            <w:r>
              <w:rPr>
                <w:rFonts w:hint="default" w:ascii="宋体" w:hAnsi="宋体" w:cs="宋体"/>
                <w:color w:val="auto"/>
                <w:sz w:val="21"/>
                <w:szCs w:val="21"/>
                <w:highlight w:val="none"/>
              </w:rPr>
              <w:t>万元的类似业绩，计20分，累计合同不少于</w:t>
            </w:r>
            <w:r>
              <w:rPr>
                <w:rFonts w:hint="eastAsia" w:ascii="宋体" w:hAnsi="宋体" w:cs="宋体"/>
                <w:color w:val="auto"/>
                <w:sz w:val="21"/>
                <w:szCs w:val="21"/>
                <w:highlight w:val="none"/>
                <w:lang w:val="en-US" w:eastAsia="zh-CN"/>
              </w:rPr>
              <w:t>39.8</w:t>
            </w:r>
            <w:r>
              <w:rPr>
                <w:rFonts w:hint="default" w:ascii="宋体" w:hAnsi="宋体" w:cs="宋体"/>
                <w:color w:val="auto"/>
                <w:sz w:val="21"/>
                <w:szCs w:val="21"/>
                <w:highlight w:val="none"/>
              </w:rPr>
              <w:t>万元的类似业绩，计15分，累计合同不少于</w:t>
            </w:r>
            <w:r>
              <w:rPr>
                <w:rFonts w:hint="eastAsia" w:ascii="宋体" w:hAnsi="宋体" w:cs="宋体"/>
                <w:color w:val="auto"/>
                <w:sz w:val="21"/>
                <w:szCs w:val="21"/>
                <w:highlight w:val="none"/>
                <w:lang w:val="en-US" w:eastAsia="zh-CN"/>
              </w:rPr>
              <w:t>23.88</w:t>
            </w:r>
            <w:r>
              <w:rPr>
                <w:rFonts w:hint="default" w:ascii="宋体" w:hAnsi="宋体" w:cs="宋体"/>
                <w:color w:val="auto"/>
                <w:sz w:val="21"/>
                <w:szCs w:val="21"/>
                <w:highlight w:val="none"/>
              </w:rPr>
              <w:t>万元的类似业绩，计10分，累计合同不少于</w:t>
            </w:r>
            <w:r>
              <w:rPr>
                <w:rFonts w:hint="eastAsia" w:ascii="宋体" w:hAnsi="宋体" w:cs="宋体"/>
                <w:color w:val="auto"/>
                <w:sz w:val="21"/>
                <w:szCs w:val="21"/>
                <w:highlight w:val="none"/>
                <w:lang w:val="en-US" w:eastAsia="zh-CN"/>
              </w:rPr>
              <w:t>7.96</w:t>
            </w:r>
            <w:r>
              <w:rPr>
                <w:rFonts w:hint="default" w:ascii="宋体" w:hAnsi="宋体" w:cs="宋体"/>
                <w:color w:val="auto"/>
                <w:sz w:val="21"/>
                <w:szCs w:val="21"/>
                <w:highlight w:val="none"/>
              </w:rPr>
              <w:t>万元的类似业绩，计5分。</w:t>
            </w:r>
          </w:p>
          <w:p w14:paraId="13B6B80A">
            <w:pPr>
              <w:keepNext w:val="0"/>
              <w:keepLines w:val="0"/>
              <w:suppressLineNumbers w:val="0"/>
              <w:spacing w:before="0" w:beforeLines="0" w:beforeAutospacing="0" w:after="0" w:afterLines="0" w:afterAutospacing="0" w:line="320" w:lineRule="exact"/>
              <w:ind w:left="0" w:right="0"/>
              <w:rPr>
                <w:rFonts w:hint="default" w:eastAsia="宋体"/>
                <w:color w:val="auto"/>
                <w:highlight w:val="none"/>
                <w:lang w:val="en-US" w:eastAsia="zh-CN"/>
              </w:rPr>
            </w:pPr>
            <w:r>
              <w:rPr>
                <w:rFonts w:hint="default" w:ascii="宋体" w:hAnsi="宋体" w:cs="宋体"/>
                <w:sz w:val="21"/>
                <w:szCs w:val="21"/>
              </w:rPr>
              <w:t>（需提供合同</w:t>
            </w:r>
            <w:r>
              <w:rPr>
                <w:rFonts w:hint="default" w:ascii="宋体" w:hAnsi="宋体" w:cs="宋体"/>
                <w:sz w:val="21"/>
                <w:szCs w:val="21"/>
                <w:highlight w:val="none"/>
              </w:rPr>
              <w:t>、对应金额的发票、收款记录</w:t>
            </w:r>
            <w:r>
              <w:rPr>
                <w:rFonts w:hint="default" w:ascii="宋体" w:hAnsi="宋体" w:cs="宋体"/>
                <w:sz w:val="21"/>
                <w:szCs w:val="21"/>
              </w:rPr>
              <w:t>等证明资料扫描件，合同无法体现年度内金额的，提供加盖业主公章的业主证明,并加盖投标人单位公章，否则视为无效。</w:t>
            </w:r>
            <w:r>
              <w:rPr>
                <w:rFonts w:hint="default" w:ascii="宋体" w:hAnsi="宋体" w:cs="宋体"/>
                <w:b/>
                <w:sz w:val="21"/>
                <w:szCs w:val="21"/>
              </w:rPr>
              <w:t>业绩日期以合同签订日期为准，合同、业主证明、发票、收款记录四者金额不一致时，以金额最小的为准。</w:t>
            </w:r>
            <w:r>
              <w:rPr>
                <w:rFonts w:hint="default" w:ascii="宋体" w:hAnsi="宋体" w:cs="宋体"/>
                <w:sz w:val="21"/>
                <w:szCs w:val="21"/>
              </w:rPr>
              <w:t>）</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E2FBD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0-</w:t>
            </w:r>
            <w:r>
              <w:rPr>
                <w:rFonts w:hint="eastAsia" w:ascii="宋体" w:hAnsi="宋体" w:cs="宋体"/>
                <w:color w:val="auto"/>
                <w:sz w:val="21"/>
                <w:szCs w:val="21"/>
                <w:highlight w:val="none"/>
                <w:lang w:val="en-US" w:eastAsia="zh-CN" w:bidi="ar"/>
              </w:rPr>
              <w:t>20</w:t>
            </w:r>
          </w:p>
        </w:tc>
      </w:tr>
      <w:tr w14:paraId="40B98098">
        <w:tblPrEx>
          <w:tblCellMar>
            <w:top w:w="0" w:type="dxa"/>
            <w:left w:w="108" w:type="dxa"/>
            <w:bottom w:w="0" w:type="dxa"/>
            <w:right w:w="108" w:type="dxa"/>
          </w:tblCellMar>
        </w:tblPrEx>
        <w:trPr>
          <w:trHeight w:val="412"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6DA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AEFB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服务配置</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D7730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bidi="ar"/>
              </w:rPr>
              <w:t>6</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0D04D09B">
            <w:pPr>
              <w:keepNext w:val="0"/>
              <w:keepLines w:val="0"/>
              <w:suppressLineNumbers w:val="0"/>
              <w:spacing w:before="0" w:beforeLines="0" w:beforeAutospacing="0" w:after="0" w:afterLines="0" w:afterAutospacing="0" w:line="320" w:lineRule="exact"/>
              <w:ind w:left="0" w:right="0"/>
              <w:rPr>
                <w:rFonts w:hint="default" w:ascii="宋体" w:hAnsi="宋体" w:cs="宋体"/>
                <w:sz w:val="21"/>
                <w:szCs w:val="21"/>
              </w:rPr>
            </w:pPr>
            <w:r>
              <w:rPr>
                <w:rFonts w:hint="default" w:ascii="宋体" w:hAnsi="宋体" w:cs="宋体"/>
                <w:sz w:val="21"/>
                <w:szCs w:val="21"/>
              </w:rPr>
              <w:t>1、项目团队负责人具有对应高级职称/专业技术人员职业资格/技能人员职业资格的计3分，具备中级职称/专业技术人员职业资格/技能人员职业资格的计2分，未提供的不予计分。</w:t>
            </w:r>
          </w:p>
          <w:p w14:paraId="0465628A">
            <w:pPr>
              <w:keepNext w:val="0"/>
              <w:keepLines w:val="0"/>
              <w:suppressLineNumbers w:val="0"/>
              <w:spacing w:before="0" w:beforeLines="0" w:beforeAutospacing="0" w:after="0" w:afterLines="0" w:afterAutospacing="0" w:line="320" w:lineRule="exact"/>
              <w:ind w:left="0" w:right="0"/>
              <w:rPr>
                <w:rFonts w:hint="default" w:ascii="宋体" w:hAnsi="宋体" w:cs="宋体"/>
                <w:sz w:val="21"/>
                <w:szCs w:val="21"/>
              </w:rPr>
            </w:pPr>
            <w:r>
              <w:rPr>
                <w:rFonts w:hint="default" w:ascii="宋体" w:hAnsi="宋体" w:cs="宋体"/>
                <w:sz w:val="21"/>
                <w:szCs w:val="21"/>
              </w:rPr>
              <w:t>（提供职称证书扫描件、身份证扫描件及劳动保障部门出具的社保证明材料扫描件，并加盖投标单位公章，否则不计分）。</w:t>
            </w:r>
          </w:p>
          <w:p w14:paraId="75FA3B14">
            <w:pPr>
              <w:keepNext w:val="0"/>
              <w:keepLines w:val="0"/>
              <w:suppressLineNumbers w:val="0"/>
              <w:spacing w:before="0" w:beforeLines="0" w:beforeAutospacing="0" w:after="0" w:afterLines="0" w:afterAutospacing="0" w:line="320" w:lineRule="exact"/>
              <w:ind w:left="0" w:right="0"/>
              <w:rPr>
                <w:rFonts w:hint="default" w:ascii="宋体" w:hAnsi="宋体" w:cs="宋体"/>
                <w:sz w:val="21"/>
                <w:szCs w:val="21"/>
              </w:rPr>
            </w:pPr>
            <w:r>
              <w:rPr>
                <w:rFonts w:hint="default" w:ascii="宋体" w:hAnsi="宋体" w:cs="宋体"/>
                <w:sz w:val="21"/>
                <w:szCs w:val="21"/>
              </w:rPr>
              <w:t>2、项目团队人员需求配置，最优的计3分，一般的计2分，差的计1分，未提供的不予计分。</w:t>
            </w:r>
          </w:p>
          <w:p w14:paraId="32A71D61">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color w:val="auto"/>
                <w:sz w:val="21"/>
                <w:szCs w:val="21"/>
                <w:highlight w:val="none"/>
                <w:lang w:eastAsia="zh-CN"/>
              </w:rPr>
            </w:pPr>
            <w:r>
              <w:rPr>
                <w:rFonts w:hint="default" w:ascii="宋体" w:hAnsi="宋体" w:cs="宋体"/>
                <w:sz w:val="21"/>
                <w:szCs w:val="21"/>
              </w:rPr>
              <w:t>（提供服务团队人员名单、资格证书原件扫描件、持证人员身份证原件扫描件和缴纳社保承诺书，并加盖投标单位公章，否则不计分）。</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BAF3F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0-</w:t>
            </w:r>
            <w:r>
              <w:rPr>
                <w:rFonts w:hint="eastAsia" w:ascii="宋体" w:hAnsi="宋体" w:cs="宋体"/>
                <w:color w:val="auto"/>
                <w:sz w:val="21"/>
                <w:szCs w:val="21"/>
                <w:highlight w:val="none"/>
                <w:lang w:val="en-US" w:eastAsia="zh-CN" w:bidi="ar"/>
              </w:rPr>
              <w:t>6</w:t>
            </w:r>
          </w:p>
        </w:tc>
      </w:tr>
      <w:tr w14:paraId="2A64BDF3">
        <w:tblPrEx>
          <w:tblCellMar>
            <w:top w:w="0" w:type="dxa"/>
            <w:left w:w="108" w:type="dxa"/>
            <w:bottom w:w="0" w:type="dxa"/>
            <w:right w:w="108" w:type="dxa"/>
          </w:tblCellMar>
        </w:tblPrEx>
        <w:trPr>
          <w:trHeight w:val="660"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778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4281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
              </w:rPr>
              <w:t>体系认证</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2D223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7559AAEC">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color w:val="auto"/>
                <w:kern w:val="2"/>
                <w:sz w:val="21"/>
                <w:szCs w:val="21"/>
                <w:highlight w:val="none"/>
                <w:lang w:val="en-US" w:eastAsia="zh-CN" w:bidi="ar-SA"/>
              </w:rPr>
            </w:pPr>
            <w:r>
              <w:rPr>
                <w:rFonts w:hint="default" w:ascii="宋体" w:hAnsi="宋体" w:cs="宋体"/>
                <w:sz w:val="21"/>
                <w:szCs w:val="21"/>
              </w:rPr>
              <w:t>质量管理体系认证1分、环境管理体系认证1分、职业健康管理体系认证1分。</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ECE24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
              </w:rPr>
              <w:t>0-</w:t>
            </w:r>
            <w:r>
              <w:rPr>
                <w:rFonts w:hint="eastAsia" w:ascii="宋体" w:hAnsi="宋体" w:cs="宋体"/>
                <w:color w:val="auto"/>
                <w:sz w:val="21"/>
                <w:szCs w:val="21"/>
                <w:highlight w:val="none"/>
                <w:lang w:val="en-US" w:eastAsia="zh-CN" w:bidi="ar"/>
              </w:rPr>
              <w:t>3</w:t>
            </w:r>
          </w:p>
        </w:tc>
      </w:tr>
      <w:tr w14:paraId="2D2DDB54">
        <w:tblPrEx>
          <w:tblCellMar>
            <w:top w:w="0" w:type="dxa"/>
            <w:left w:w="108" w:type="dxa"/>
            <w:bottom w:w="0" w:type="dxa"/>
            <w:right w:w="108" w:type="dxa"/>
          </w:tblCellMar>
        </w:tblPrEx>
        <w:trPr>
          <w:trHeight w:val="430"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B95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4A8D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符合当次采购服务特性的商务条款</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268417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6</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1641EDBE">
            <w:pPr>
              <w:keepNext w:val="0"/>
              <w:keepLines w:val="0"/>
              <w:widowControl/>
              <w:numPr>
                <w:ilvl w:val="0"/>
                <w:numId w:val="0"/>
              </w:numPr>
              <w:suppressLineNumbers w:val="0"/>
              <w:spacing w:before="0" w:beforeLines="0" w:beforeAutospacing="0" w:after="0" w:afterAutospacing="0" w:line="320" w:lineRule="exact"/>
              <w:ind w:left="0" w:right="0" w:rightChars="0"/>
              <w:jc w:val="left"/>
              <w:rPr>
                <w:rFonts w:hint="default"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color w:val="auto"/>
                <w:sz w:val="21"/>
                <w:szCs w:val="21"/>
                <w:highlight w:val="none"/>
                <w:shd w:val="clear"/>
                <w:lang w:val="en-US" w:eastAsia="zh-CN"/>
              </w:rPr>
              <w:t>、</w:t>
            </w:r>
            <w:r>
              <w:rPr>
                <w:rFonts w:hint="default" w:ascii="宋体" w:hAnsi="宋体" w:cs="宋体"/>
                <w:color w:val="auto"/>
                <w:sz w:val="21"/>
                <w:szCs w:val="21"/>
                <w:highlight w:val="none"/>
                <w:shd w:val="clear"/>
              </w:rPr>
              <w:t>供应商获得</w:t>
            </w:r>
            <w:r>
              <w:rPr>
                <w:rFonts w:hint="eastAsia" w:ascii="宋体" w:hAnsi="宋体" w:cs="宋体"/>
                <w:color w:val="auto"/>
                <w:sz w:val="21"/>
                <w:szCs w:val="21"/>
                <w:highlight w:val="none"/>
                <w:shd w:val="clear"/>
                <w:lang w:val="en-US" w:eastAsia="zh-CN"/>
              </w:rPr>
              <w:t>省级环保协会颁发的相关污染治理设施运行服务能力评价证书（须体现为自动监控（水）相关类别）</w:t>
            </w:r>
            <w:r>
              <w:rPr>
                <w:rFonts w:hint="eastAsia" w:ascii="宋体" w:hAnsi="宋体" w:cs="宋体"/>
                <w:sz w:val="21"/>
                <w:szCs w:val="21"/>
                <w:highlight w:val="none"/>
                <w:lang w:val="en-US" w:eastAsia="zh-CN"/>
              </w:rPr>
              <w:t>或中环协颁发的中国环境服务认证证书(服务项目为自动监控系统(水)运行服务能力)的，</w:t>
            </w:r>
            <w:r>
              <w:rPr>
                <w:rFonts w:hint="default" w:ascii="宋体" w:hAnsi="宋体" w:cs="宋体"/>
                <w:sz w:val="21"/>
                <w:szCs w:val="21"/>
                <w:highlight w:val="none"/>
              </w:rPr>
              <w:t>计</w:t>
            </w:r>
            <w:r>
              <w:rPr>
                <w:rFonts w:hint="eastAsia" w:ascii="宋体" w:hAnsi="宋体" w:cs="宋体"/>
                <w:sz w:val="21"/>
                <w:szCs w:val="21"/>
                <w:highlight w:val="none"/>
                <w:lang w:val="en-US" w:eastAsia="zh-CN"/>
              </w:rPr>
              <w:t>3</w:t>
            </w:r>
            <w:r>
              <w:rPr>
                <w:rFonts w:hint="default" w:ascii="宋体" w:hAnsi="宋体" w:cs="宋体"/>
                <w:sz w:val="21"/>
                <w:szCs w:val="21"/>
                <w:highlight w:val="none"/>
              </w:rPr>
              <w:t>分；</w:t>
            </w:r>
          </w:p>
          <w:p w14:paraId="7FC1D3C7">
            <w:pPr>
              <w:keepNext w:val="0"/>
              <w:keepLines w:val="0"/>
              <w:widowControl/>
              <w:numPr>
                <w:ilvl w:val="0"/>
                <w:numId w:val="0"/>
              </w:numPr>
              <w:suppressLineNumbers w:val="0"/>
              <w:spacing w:before="0" w:beforeLines="0" w:beforeAutospacing="0" w:after="0" w:afterAutospacing="0" w:line="320" w:lineRule="exact"/>
              <w:ind w:left="0" w:right="0"/>
              <w:jc w:val="left"/>
              <w:rPr>
                <w:rFonts w:hint="default" w:ascii="宋体" w:hAnsi="宋体" w:cs="宋体"/>
                <w:sz w:val="21"/>
                <w:szCs w:val="21"/>
                <w:highlight w:val="none"/>
              </w:rPr>
            </w:pPr>
            <w:r>
              <w:rPr>
                <w:rFonts w:hint="eastAsia" w:ascii="宋体" w:hAnsi="宋体" w:cs="宋体"/>
                <w:sz w:val="21"/>
                <w:szCs w:val="21"/>
                <w:highlight w:val="none"/>
                <w:lang w:val="en-US" w:eastAsia="zh-CN"/>
              </w:rPr>
              <w:t>2</w:t>
            </w:r>
            <w:r>
              <w:rPr>
                <w:rFonts w:hint="default" w:ascii="宋体" w:hAnsi="宋体" w:cs="宋体"/>
                <w:sz w:val="21"/>
                <w:szCs w:val="21"/>
                <w:highlight w:val="none"/>
              </w:rPr>
              <w:t>、供应商获得应急预案管理能力评价认证证书的计</w:t>
            </w:r>
            <w:r>
              <w:rPr>
                <w:rFonts w:hint="eastAsia" w:ascii="宋体" w:hAnsi="宋体" w:cs="宋体"/>
                <w:sz w:val="21"/>
                <w:szCs w:val="21"/>
                <w:highlight w:val="none"/>
                <w:lang w:val="en-US" w:eastAsia="zh-CN"/>
              </w:rPr>
              <w:t>3</w:t>
            </w:r>
            <w:r>
              <w:rPr>
                <w:rFonts w:hint="default" w:ascii="宋体" w:hAnsi="宋体" w:cs="宋体"/>
                <w:sz w:val="21"/>
                <w:szCs w:val="21"/>
                <w:highlight w:val="none"/>
              </w:rPr>
              <w:t>分；</w:t>
            </w:r>
          </w:p>
          <w:p w14:paraId="36A46992">
            <w:pPr>
              <w:keepNext w:val="0"/>
              <w:keepLines w:val="0"/>
              <w:widowControl/>
              <w:numPr>
                <w:ilvl w:val="0"/>
                <w:numId w:val="0"/>
              </w:numPr>
              <w:suppressLineNumbers w:val="0"/>
              <w:spacing w:before="0" w:beforeLines="0" w:beforeAutospacing="0" w:after="0" w:afterAutospacing="0" w:line="320" w:lineRule="exact"/>
              <w:ind w:left="0" w:leftChars="0" w:right="0" w:firstLine="0" w:firstLineChars="0"/>
              <w:jc w:val="left"/>
              <w:rPr>
                <w:rFonts w:hint="default" w:ascii="宋体" w:hAnsi="宋体" w:eastAsia="宋体" w:cs="宋体"/>
                <w:color w:val="auto"/>
                <w:sz w:val="21"/>
                <w:szCs w:val="21"/>
                <w:highlight w:val="none"/>
                <w:lang w:val="en-US" w:eastAsia="zh-CN"/>
              </w:rPr>
            </w:pPr>
            <w:r>
              <w:rPr>
                <w:rFonts w:hint="default" w:ascii="宋体" w:hAnsi="宋体" w:cs="宋体"/>
                <w:sz w:val="21"/>
                <w:szCs w:val="21"/>
                <w:highlight w:val="none"/>
              </w:rPr>
              <w:t>(提供证书复印件并加盖公章，否则不计分。)</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A6672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0-</w:t>
            </w:r>
            <w:r>
              <w:rPr>
                <w:rFonts w:hint="eastAsia" w:ascii="宋体" w:hAnsi="宋体" w:cs="宋体"/>
                <w:color w:val="auto"/>
                <w:sz w:val="21"/>
                <w:szCs w:val="21"/>
                <w:highlight w:val="none"/>
                <w:lang w:val="en-US" w:eastAsia="zh-CN" w:bidi="ar"/>
              </w:rPr>
              <w:t>6</w:t>
            </w:r>
          </w:p>
        </w:tc>
      </w:tr>
      <w:tr w14:paraId="4B492D07">
        <w:tblPrEx>
          <w:tblCellMar>
            <w:top w:w="0" w:type="dxa"/>
            <w:left w:w="108" w:type="dxa"/>
            <w:bottom w:w="0" w:type="dxa"/>
            <w:right w:w="108" w:type="dxa"/>
          </w:tblCellMar>
        </w:tblPrEx>
        <w:trPr>
          <w:trHeight w:val="691"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8AA5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技术评分（30分）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1039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文件制作水平</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0F4982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77F4823F">
            <w:pPr>
              <w:keepNext w:val="0"/>
              <w:keepLines w:val="0"/>
              <w:suppressLineNumbers w:val="0"/>
              <w:spacing w:before="0" w:beforeLines="0" w:beforeAutospacing="0" w:after="0" w:afterLines="0" w:afterAutospacing="0" w:line="320" w:lineRule="exact"/>
              <w:ind w:left="0" w:right="0"/>
              <w:rPr>
                <w:rFonts w:hint="eastAsia" w:ascii="宋体" w:hAnsi="宋体" w:eastAsia="宋体" w:cs="宋体"/>
                <w:color w:val="auto"/>
                <w:sz w:val="21"/>
                <w:szCs w:val="21"/>
                <w:highlight w:val="none"/>
              </w:rPr>
            </w:pPr>
            <w:r>
              <w:rPr>
                <w:rFonts w:hint="default" w:ascii="宋体" w:hAnsi="宋体" w:cs="宋体"/>
                <w:sz w:val="21"/>
                <w:szCs w:val="21"/>
              </w:rPr>
              <w:t>投标文件表述是否规范，是否按招标文件要求编制，每发现1处不规范扣1分，扣完为止。</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C3EBC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0-</w:t>
            </w:r>
            <w:r>
              <w:rPr>
                <w:rFonts w:hint="eastAsia" w:ascii="宋体" w:hAnsi="宋体" w:cs="宋体"/>
                <w:color w:val="auto"/>
                <w:sz w:val="21"/>
                <w:szCs w:val="21"/>
                <w:highlight w:val="none"/>
                <w:lang w:val="en-US" w:eastAsia="zh-CN" w:bidi="ar"/>
              </w:rPr>
              <w:t>4</w:t>
            </w:r>
          </w:p>
        </w:tc>
      </w:tr>
      <w:tr w14:paraId="72436641">
        <w:tblPrEx>
          <w:tblCellMar>
            <w:top w:w="0" w:type="dxa"/>
            <w:left w:w="108" w:type="dxa"/>
            <w:bottom w:w="0" w:type="dxa"/>
            <w:right w:w="108" w:type="dxa"/>
          </w:tblCellMar>
        </w:tblPrEx>
        <w:trPr>
          <w:trHeight w:val="336"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BCA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71C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服务方案</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3E7BB1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3A81710F">
            <w:pPr>
              <w:keepNext w:val="0"/>
              <w:keepLines w:val="0"/>
              <w:suppressLineNumbers w:val="0"/>
              <w:spacing w:before="0" w:beforeLines="0" w:beforeAutospacing="0" w:after="0" w:afterLines="0" w:afterAutospacing="0" w:line="320" w:lineRule="exact"/>
              <w:ind w:left="0" w:right="0"/>
              <w:rPr>
                <w:rFonts w:hint="default" w:ascii="宋体" w:hAnsi="宋体" w:cs="宋体"/>
                <w:sz w:val="21"/>
                <w:szCs w:val="21"/>
              </w:rPr>
            </w:pPr>
            <w:r>
              <w:rPr>
                <w:rFonts w:hint="default" w:ascii="宋体" w:hAnsi="宋体" w:cs="宋体"/>
                <w:sz w:val="21"/>
                <w:szCs w:val="21"/>
              </w:rPr>
              <w:t>质量保证方案优秀的计4-5分，良好的计2-3分，一般的计1分；</w:t>
            </w:r>
          </w:p>
          <w:p w14:paraId="4D887E2F">
            <w:pPr>
              <w:keepNext w:val="0"/>
              <w:keepLines w:val="0"/>
              <w:suppressLineNumbers w:val="0"/>
              <w:spacing w:before="0" w:beforeLines="0" w:beforeAutospacing="0" w:after="0" w:afterLines="0" w:afterAutospacing="0" w:line="320" w:lineRule="exact"/>
              <w:ind w:left="0" w:right="0"/>
              <w:rPr>
                <w:rFonts w:hint="default" w:ascii="宋体" w:hAnsi="宋体" w:cs="宋体"/>
                <w:sz w:val="21"/>
                <w:szCs w:val="21"/>
              </w:rPr>
            </w:pPr>
            <w:r>
              <w:rPr>
                <w:rFonts w:hint="default" w:ascii="宋体" w:hAnsi="宋体" w:cs="宋体"/>
                <w:sz w:val="21"/>
                <w:szCs w:val="21"/>
              </w:rPr>
              <w:t>进度保证方案优秀的计4-5分，良好的计2-3分，一般的计1分；</w:t>
            </w:r>
          </w:p>
          <w:p w14:paraId="2861D409">
            <w:pPr>
              <w:keepNext w:val="0"/>
              <w:keepLines w:val="0"/>
              <w:suppressLineNumbers w:val="0"/>
              <w:spacing w:before="0" w:beforeLines="0" w:beforeAutospacing="0" w:after="0" w:afterLines="0" w:afterAutospacing="0" w:line="320" w:lineRule="exact"/>
              <w:ind w:left="0" w:right="0"/>
              <w:rPr>
                <w:rFonts w:hint="default" w:ascii="宋体" w:hAnsi="宋体" w:cs="宋体"/>
                <w:sz w:val="21"/>
                <w:szCs w:val="21"/>
              </w:rPr>
            </w:pPr>
            <w:r>
              <w:rPr>
                <w:rFonts w:hint="default" w:ascii="宋体" w:hAnsi="宋体" w:cs="宋体"/>
                <w:sz w:val="21"/>
                <w:szCs w:val="21"/>
              </w:rPr>
              <w:t>安全保证方案优秀的计4-5分，良好的计2-3分，一般的计1分；</w:t>
            </w:r>
          </w:p>
          <w:p w14:paraId="4F3EFE77">
            <w:pPr>
              <w:keepNext w:val="0"/>
              <w:keepLines w:val="0"/>
              <w:suppressLineNumbers w:val="0"/>
              <w:spacing w:before="0" w:beforeLines="0" w:beforeAutospacing="0" w:after="0" w:afterLines="0" w:afterAutospacing="0" w:line="320" w:lineRule="exact"/>
              <w:ind w:left="0" w:right="0"/>
              <w:rPr>
                <w:rFonts w:hint="default" w:ascii="宋体" w:hAnsi="宋体" w:eastAsia="宋体" w:cs="宋体"/>
                <w:color w:val="auto"/>
                <w:sz w:val="21"/>
                <w:szCs w:val="21"/>
                <w:highlight w:val="none"/>
                <w:lang w:val="en-US" w:eastAsia="zh-CN"/>
              </w:rPr>
            </w:pPr>
            <w:r>
              <w:rPr>
                <w:rFonts w:hint="default" w:ascii="宋体" w:hAnsi="宋体" w:cs="宋体"/>
                <w:sz w:val="21"/>
                <w:szCs w:val="21"/>
              </w:rPr>
              <w:t>合理化建议：每个计1分，最多计5分</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D05C2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0-20</w:t>
            </w:r>
          </w:p>
        </w:tc>
      </w:tr>
      <w:tr w14:paraId="73B0535E">
        <w:tblPrEx>
          <w:tblCellMar>
            <w:top w:w="0" w:type="dxa"/>
            <w:left w:w="108" w:type="dxa"/>
            <w:bottom w:w="0" w:type="dxa"/>
            <w:right w:w="108" w:type="dxa"/>
          </w:tblCellMar>
        </w:tblPrEx>
        <w:trPr>
          <w:trHeight w:val="90"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DCC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6F95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符合当次采购特性的技术条款</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696F6A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33D5E810">
            <w:pPr>
              <w:keepNext w:val="0"/>
              <w:keepLines w:val="0"/>
              <w:widowControl/>
              <w:numPr>
                <w:ilvl w:val="0"/>
                <w:numId w:val="0"/>
              </w:numPr>
              <w:suppressLineNumbers w:val="0"/>
              <w:spacing w:before="0" w:beforeLines="0" w:beforeAutospacing="0" w:after="0" w:afterAutospacing="0" w:line="320" w:lineRule="exact"/>
              <w:ind w:left="0" w:leftChars="0" w:right="0" w:firstLine="0" w:firstLineChars="0"/>
              <w:jc w:val="left"/>
              <w:rPr>
                <w:rFonts w:hint="default" w:ascii="宋体" w:hAnsi="宋体" w:cs="宋体"/>
                <w:color w:val="auto"/>
                <w:szCs w:val="21"/>
                <w:highlight w:val="none"/>
                <w:lang w:val="en-US" w:eastAsia="zh-CN"/>
              </w:rPr>
            </w:pPr>
            <w:r>
              <w:rPr>
                <w:rFonts w:hint="default" w:ascii="宋体" w:hAnsi="宋体" w:cs="宋体"/>
                <w:sz w:val="21"/>
                <w:szCs w:val="21"/>
                <w:lang w:val="zh-CN"/>
              </w:rPr>
              <w:t>根据供应商对项目的理解和整体服务方案进行综合评定：对项目需求理解透彻、能准确的分析出重点难点，整体服务方案完善、有针对性，综合评价为优</w:t>
            </w:r>
            <w:r>
              <w:rPr>
                <w:rFonts w:hint="default" w:ascii="宋体" w:hAnsi="宋体" w:cs="宋体"/>
                <w:sz w:val="21"/>
                <w:szCs w:val="21"/>
              </w:rPr>
              <w:t>秀</w:t>
            </w:r>
            <w:r>
              <w:rPr>
                <w:rFonts w:hint="default" w:ascii="宋体" w:hAnsi="宋体" w:cs="宋体"/>
                <w:sz w:val="21"/>
                <w:szCs w:val="21"/>
                <w:lang w:val="zh-CN"/>
              </w:rPr>
              <w:t>的计6分，良好的计4分，一般的计2分，差的计1分，缺项的计0分。</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A9E36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0-6</w:t>
            </w:r>
          </w:p>
        </w:tc>
      </w:tr>
      <w:tr w14:paraId="397D0D14">
        <w:tblPrEx>
          <w:tblCellMar>
            <w:top w:w="0" w:type="dxa"/>
            <w:left w:w="108" w:type="dxa"/>
            <w:bottom w:w="0" w:type="dxa"/>
            <w:right w:w="108" w:type="dxa"/>
          </w:tblCellMar>
        </w:tblPrEx>
        <w:trPr>
          <w:trHeight w:val="533"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noWrap w:val="0"/>
            <w:vAlign w:val="center"/>
          </w:tcPr>
          <w:p w14:paraId="7036AD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投标报价（30分）</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50C3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投标报价</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250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30</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57FA5F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投标报价＞基准价30-30L</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4732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0-30</w:t>
            </w:r>
          </w:p>
        </w:tc>
      </w:tr>
      <w:tr w14:paraId="579008E6">
        <w:tblPrEx>
          <w:tblCellMar>
            <w:top w:w="0" w:type="dxa"/>
            <w:left w:w="108" w:type="dxa"/>
            <w:bottom w:w="0" w:type="dxa"/>
            <w:right w:w="108" w:type="dxa"/>
          </w:tblCellMar>
        </w:tblPrEx>
        <w:trPr>
          <w:trHeight w:val="533"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498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811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49A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35B2A5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投标报价=基准价30</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F73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p>
        </w:tc>
      </w:tr>
      <w:tr w14:paraId="24B65DD9">
        <w:tblPrEx>
          <w:tblCellMar>
            <w:top w:w="0" w:type="dxa"/>
            <w:left w:w="108" w:type="dxa"/>
            <w:bottom w:w="0" w:type="dxa"/>
            <w:right w:w="108" w:type="dxa"/>
          </w:tblCellMar>
        </w:tblPrEx>
        <w:trPr>
          <w:trHeight w:val="533"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E78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174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D01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54E1DD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投标报价＜基准价30-0.5×30L</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C45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p>
        </w:tc>
      </w:tr>
      <w:tr w14:paraId="0FD107C7">
        <w:tblPrEx>
          <w:tblCellMar>
            <w:top w:w="0" w:type="dxa"/>
            <w:left w:w="108" w:type="dxa"/>
            <w:bottom w:w="0" w:type="dxa"/>
            <w:right w:w="108" w:type="dxa"/>
          </w:tblCellMar>
        </w:tblPrEx>
        <w:trPr>
          <w:trHeight w:val="3220"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54A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p>
        </w:tc>
        <w:tc>
          <w:tcPr>
            <w:tcW w:w="8396" w:type="dxa"/>
            <w:gridSpan w:val="4"/>
            <w:tcBorders>
              <w:top w:val="single" w:color="000000" w:sz="4" w:space="0"/>
              <w:left w:val="single" w:color="000000" w:sz="4" w:space="0"/>
              <w:bottom w:val="single" w:color="000000" w:sz="4" w:space="0"/>
              <w:right w:val="single" w:color="000000" w:sz="4" w:space="0"/>
            </w:tcBorders>
            <w:noWrap w:val="0"/>
            <w:vAlign w:val="center"/>
          </w:tcPr>
          <w:p w14:paraId="23B332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1.基准价的计算：Y＝A</w:t>
            </w:r>
          </w:p>
          <w:p w14:paraId="242968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其中：A——进入报价评审环节的投标报价中，未偏离X(1±10%)（含）的报价的算术平均值</w:t>
            </w:r>
          </w:p>
          <w:p w14:paraId="6CF2F5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X——进入报价评审环节的投标报价的算术平均值</w:t>
            </w:r>
          </w:p>
          <w:p w14:paraId="4DB148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X＝（X1+X2+……Xn-1+Xn）／n</w:t>
            </w:r>
          </w:p>
          <w:p w14:paraId="2DF678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n——进入报价评审环节的投标报价个数</w:t>
            </w:r>
          </w:p>
          <w:p w14:paraId="157464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X1、X2、Xn-1、Xn——进入报价评审环节的投标报价</w:t>
            </w:r>
          </w:p>
          <w:p w14:paraId="3E11C5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L=︱（投标报价-基准价）/基准价︱×100%</w:t>
            </w:r>
          </w:p>
          <w:p w14:paraId="0CCA60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2.当无法计算基准价时，报价部分均按零分处理。</w:t>
            </w:r>
          </w:p>
        </w:tc>
      </w:tr>
    </w:tbl>
    <w:p w14:paraId="48BD6999">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47C524F">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磋商须知正文</w:t>
      </w:r>
    </w:p>
    <w:p w14:paraId="3D7FEBD1">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 w:val="24"/>
          <w:highlight w:val="none"/>
        </w:rPr>
        <w:t>一、说明</w:t>
      </w:r>
      <w:bookmarkEnd w:id="19"/>
    </w:p>
    <w:p w14:paraId="30D734BB">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1.适用范围</w:t>
      </w:r>
    </w:p>
    <w:p w14:paraId="2D555FC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本磋商文件仅适用于磋商须知前附表(以下简称</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中所叙述的采购项目。</w:t>
      </w:r>
    </w:p>
    <w:p w14:paraId="132283AB">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2.定义</w:t>
      </w:r>
    </w:p>
    <w:p w14:paraId="0ADB160B">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2.1 “采购人”是指</w:t>
      </w:r>
      <w:r>
        <w:rPr>
          <w:rFonts w:hint="eastAsia" w:ascii="宋体" w:hAnsi="宋体" w:cs="宋体"/>
          <w:color w:val="auto"/>
          <w:szCs w:val="21"/>
          <w:highlight w:val="none"/>
          <w:u w:val="none"/>
          <w:lang w:eastAsia="zh-CN"/>
        </w:rPr>
        <w:t>长沙市排水有限责任公司</w:t>
      </w:r>
      <w:r>
        <w:rPr>
          <w:rFonts w:hint="eastAsia" w:ascii="宋体" w:hAnsi="宋体" w:eastAsia="宋体" w:cs="宋体"/>
          <w:color w:val="auto"/>
          <w:szCs w:val="21"/>
          <w:highlight w:val="none"/>
        </w:rPr>
        <w:t>。</w:t>
      </w:r>
    </w:p>
    <w:p w14:paraId="55821351">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 “采购代理机构”是指</w:t>
      </w:r>
      <w:r>
        <w:rPr>
          <w:rFonts w:hint="eastAsia" w:ascii="宋体" w:hAnsi="宋体" w:cs="宋体"/>
          <w:color w:val="auto"/>
          <w:szCs w:val="21"/>
          <w:highlight w:val="none"/>
          <w:lang w:val="en-US" w:eastAsia="zh-CN"/>
        </w:rPr>
        <w:t>天鉴国际工程管理有限公司</w:t>
      </w:r>
      <w:r>
        <w:rPr>
          <w:rFonts w:hint="eastAsia" w:ascii="宋体" w:hAnsi="宋体" w:eastAsia="宋体" w:cs="宋体"/>
          <w:b/>
          <w:color w:val="auto"/>
          <w:szCs w:val="21"/>
          <w:highlight w:val="none"/>
        </w:rPr>
        <w:t>。</w:t>
      </w:r>
    </w:p>
    <w:p w14:paraId="09714A5D">
      <w:pPr>
        <w:adjustRightInd w:val="0"/>
        <w:snapToGrid w:val="0"/>
        <w:spacing w:line="360" w:lineRule="auto"/>
        <w:ind w:firstLine="420" w:firstLineChars="200"/>
        <w:rPr>
          <w:rFonts w:hint="eastAsia" w:ascii="宋体" w:hAnsi="宋体" w:eastAsia="宋体" w:cs="宋体"/>
          <w:bCs/>
          <w:color w:val="auto"/>
          <w:kern w:val="36"/>
          <w:szCs w:val="21"/>
          <w:highlight w:val="none"/>
        </w:rPr>
      </w:pPr>
      <w:r>
        <w:rPr>
          <w:rFonts w:hint="eastAsia" w:ascii="宋体" w:hAnsi="宋体" w:eastAsia="宋体" w:cs="宋体"/>
          <w:color w:val="auto"/>
          <w:szCs w:val="21"/>
          <w:highlight w:val="none"/>
        </w:rPr>
        <w:t>2.3 “供应商”是指响应磋商文件要求、参加</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采购的法人、其他组织或者自然人。本次采购项目</w:t>
      </w:r>
      <w:r>
        <w:rPr>
          <w:rFonts w:hint="eastAsia" w:ascii="宋体" w:hAnsi="宋体" w:eastAsia="宋体" w:cs="宋体"/>
          <w:color w:val="auto"/>
          <w:kern w:val="0"/>
          <w:szCs w:val="21"/>
          <w:highlight w:val="none"/>
        </w:rPr>
        <w:t>邀请</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供应商通过</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所述方式</w:t>
      </w:r>
      <w:r>
        <w:rPr>
          <w:rFonts w:hint="eastAsia" w:ascii="宋体" w:hAnsi="宋体" w:eastAsia="宋体" w:cs="宋体"/>
          <w:color w:val="auto"/>
          <w:kern w:val="0"/>
          <w:szCs w:val="21"/>
          <w:highlight w:val="none"/>
        </w:rPr>
        <w:t>，邀请符合资格条件的供应商提交响应文件（含资格证明资料），参与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采购活动。</w:t>
      </w:r>
    </w:p>
    <w:p w14:paraId="12DE91F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 “磋商小组”是指</w:t>
      </w:r>
      <w:r>
        <w:rPr>
          <w:rFonts w:hint="eastAsia" w:ascii="宋体" w:hAnsi="宋体" w:eastAsia="宋体" w:cs="宋体"/>
          <w:color w:val="auto"/>
          <w:kern w:val="0"/>
          <w:szCs w:val="21"/>
          <w:highlight w:val="none"/>
        </w:rPr>
        <w:t>依据</w:t>
      </w:r>
      <w:r>
        <w:rPr>
          <w:rFonts w:hint="eastAsia" w:ascii="宋体" w:hAnsi="宋体" w:eastAsia="宋体" w:cs="宋体"/>
          <w:bCs/>
          <w:color w:val="auto"/>
          <w:kern w:val="36"/>
          <w:szCs w:val="21"/>
          <w:highlight w:val="none"/>
        </w:rPr>
        <w:t>有关规定组建，依法依规</w:t>
      </w:r>
      <w:r>
        <w:rPr>
          <w:rFonts w:hint="eastAsia" w:ascii="宋体" w:hAnsi="宋体" w:eastAsia="宋体" w:cs="宋体"/>
          <w:color w:val="auto"/>
          <w:kern w:val="0"/>
          <w:szCs w:val="21"/>
          <w:highlight w:val="none"/>
        </w:rPr>
        <w:t>履行其职责和义务的机构。</w:t>
      </w:r>
    </w:p>
    <w:p w14:paraId="5B7A28F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“服务”是指除货物和工程以外的其他采购对象。</w:t>
      </w:r>
    </w:p>
    <w:p w14:paraId="11D37DAB">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3.供应商的资格要求</w:t>
      </w:r>
    </w:p>
    <w:p w14:paraId="6F2EFE0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供应商应当符合</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中规定的资格条件要求。</w:t>
      </w:r>
    </w:p>
    <w:p w14:paraId="24B5404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3.2供应商</w:t>
      </w:r>
      <w:r>
        <w:rPr>
          <w:rFonts w:hint="eastAsia" w:ascii="宋体" w:hAnsi="宋体" w:eastAsia="宋体" w:cs="宋体"/>
          <w:color w:val="auto"/>
          <w:highlight w:val="none"/>
        </w:rPr>
        <w:t>为联合体形式的</w:t>
      </w:r>
      <w:r>
        <w:rPr>
          <w:rFonts w:hint="eastAsia" w:ascii="宋体" w:hAnsi="宋体" w:eastAsia="宋体" w:cs="宋体"/>
          <w:color w:val="auto"/>
          <w:szCs w:val="21"/>
          <w:highlight w:val="none"/>
        </w:rPr>
        <w:t xml:space="preserve">，除应满足本章第3.1款资格条件要求及第3.3款规定外，还应遵守以下规定： </w:t>
      </w:r>
    </w:p>
    <w:p w14:paraId="664BA660">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（1）联合体各方应按磋商文件提供的格式签订联合体协议书，明确联合体牵头人和各方权利义务(含承担工作及工作量比例)；</w:t>
      </w:r>
    </w:p>
    <w:p w14:paraId="619C460E">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（2）联合体中有同类资质的供应商按照联合体分工承担相同工作的，应当按照资质等级较低的供应商确定资质等级；</w:t>
      </w:r>
    </w:p>
    <w:p w14:paraId="2D704673">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（3）以联合体形式参加采购活动的，联合体各方不得再单独参加或者与其他供应商另外组成联合体参加同一合同项下的采购活动。</w:t>
      </w:r>
    </w:p>
    <w:p w14:paraId="263CAD8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供应商不得存在下列情形之一：</w:t>
      </w:r>
    </w:p>
    <w:p w14:paraId="68C17FD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隶属关系或者其他利害关系</w:t>
      </w:r>
      <w:r>
        <w:rPr>
          <w:rFonts w:hint="eastAsia" w:ascii="宋体" w:hAnsi="宋体" w:eastAsia="宋体" w:cs="宋体"/>
          <w:color w:val="auto"/>
          <w:szCs w:val="21"/>
          <w:highlight w:val="none"/>
        </w:rPr>
        <w:t>。</w:t>
      </w:r>
    </w:p>
    <w:p w14:paraId="4A49924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（2）与其他供应商的法定代表人（或者负责人）为同一人，或者与其他供应商存在直接控股、管理关系。</w:t>
      </w:r>
    </w:p>
    <w:p w14:paraId="09897A5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受到刑事处罚，或者受到责令停产停业、在一至三年内禁止参加政府采购活动、暂扣或者吊销许可证、暂扣或者吊销执照等情形之一的行政处罚，或者存在</w:t>
      </w:r>
      <w:r>
        <w:rPr>
          <w:rFonts w:hint="eastAsia" w:ascii="宋体" w:hAnsi="宋体" w:eastAsia="宋体" w:cs="宋体"/>
          <w:color w:val="auto"/>
          <w:szCs w:val="21"/>
          <w:highlight w:val="none"/>
        </w:rPr>
        <w:t>财政部门认定的其他重大违法记录。</w:t>
      </w:r>
    </w:p>
    <w:p w14:paraId="50C57543">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4.参与磋商的费用 </w:t>
      </w:r>
    </w:p>
    <w:p w14:paraId="3EA314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无论磋商的结果如何，供应商应自行承担所有与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采购活动有关的全部费用。</w:t>
      </w:r>
    </w:p>
    <w:p w14:paraId="6DE54575">
      <w:pPr>
        <w:pStyle w:val="22"/>
        <w:adjustRightInd w:val="0"/>
        <w:snapToGrid w:val="0"/>
        <w:spacing w:line="360" w:lineRule="auto"/>
        <w:rPr>
          <w:rFonts w:hint="eastAsia" w:ascii="宋体" w:hAnsi="宋体" w:eastAsia="宋体" w:cs="宋体"/>
          <w:b/>
          <w:bCs/>
          <w:color w:val="auto"/>
          <w:highlight w:val="none"/>
        </w:rPr>
      </w:pPr>
      <w:r>
        <w:rPr>
          <w:rFonts w:hint="eastAsia" w:ascii="宋体" w:hAnsi="宋体" w:eastAsia="宋体" w:cs="宋体"/>
          <w:b/>
          <w:color w:val="auto"/>
          <w:highlight w:val="none"/>
        </w:rPr>
        <w:t>5．</w:t>
      </w:r>
      <w:r>
        <w:rPr>
          <w:rFonts w:hint="eastAsia" w:ascii="宋体" w:hAnsi="宋体" w:eastAsia="宋体" w:cs="宋体"/>
          <w:b/>
          <w:bCs/>
          <w:color w:val="auto"/>
          <w:highlight w:val="none"/>
        </w:rPr>
        <w:t>授权委托</w:t>
      </w:r>
    </w:p>
    <w:p w14:paraId="0C8E6119">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5.1供应商代表为供应商法定代表人的，应具备法定代表人身份证明。供应商代表不是供应商法定代表人的，应具备法定代表人授权书，并附法定代表人身份证明。</w:t>
      </w:r>
    </w:p>
    <w:p w14:paraId="2A9E00FD">
      <w:pPr>
        <w:pStyle w:val="2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6．联合体形式</w:t>
      </w:r>
    </w:p>
    <w:p w14:paraId="65DEE5E1">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6.1除</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中另有规定，本次</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采购不接受为联合体形式的供应商。</w:t>
      </w:r>
    </w:p>
    <w:p w14:paraId="5C0013E4">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w:t>
      </w:r>
      <w:r>
        <w:rPr>
          <w:rFonts w:hint="eastAsia" w:ascii="宋体" w:hAnsi="宋体" w:eastAsia="宋体" w:cs="宋体"/>
          <w:color w:val="auto"/>
          <w:highlight w:val="none"/>
        </w:rPr>
        <w:t>为联合体形式的</w:t>
      </w:r>
      <w:r>
        <w:rPr>
          <w:rFonts w:hint="eastAsia" w:ascii="宋体" w:hAnsi="宋体" w:eastAsia="宋体" w:cs="宋体"/>
          <w:color w:val="auto"/>
          <w:szCs w:val="21"/>
          <w:highlight w:val="none"/>
        </w:rPr>
        <w:t>，除应符合本章第3条规定外，还应遵守以下规定：</w:t>
      </w:r>
    </w:p>
    <w:p w14:paraId="5B759EC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（l）联合体各方必须签订联合体协议书，明确联合体牵头人和各方的义务、工作、合同工作量比例；</w:t>
      </w:r>
    </w:p>
    <w:p w14:paraId="13084500">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（2）联合体各方均应当符合本章第3.1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规定的供应商基本资格条件；</w:t>
      </w:r>
    </w:p>
    <w:p w14:paraId="3D27202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除</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中另有规定，</w:t>
      </w:r>
      <w:r>
        <w:rPr>
          <w:rFonts w:hint="eastAsia" w:ascii="宋体" w:hAnsi="宋体" w:eastAsia="宋体" w:cs="宋体"/>
          <w:color w:val="auto"/>
          <w:szCs w:val="21"/>
          <w:highlight w:val="none"/>
        </w:rPr>
        <w:t>联合体各方中至少有一方应当符合本章第3.1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规定的供应商特定资格条件；</w:t>
      </w:r>
    </w:p>
    <w:p w14:paraId="388C6E7C">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lang w:val="zh-CN"/>
        </w:rPr>
        <w:t>联合体各方不得再单独或与其他供应商组成新的联合体参加同一项目的采购活动。</w:t>
      </w:r>
    </w:p>
    <w:p w14:paraId="111E253F">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7.现场勘察</w:t>
      </w:r>
    </w:p>
    <w:p w14:paraId="7883F8E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7.1供应商应按</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中规定</w:t>
      </w:r>
      <w:r>
        <w:rPr>
          <w:rFonts w:hint="eastAsia" w:ascii="宋体" w:hAnsi="宋体" w:eastAsia="宋体" w:cs="宋体"/>
          <w:color w:val="auto"/>
          <w:szCs w:val="21"/>
          <w:highlight w:val="none"/>
        </w:rPr>
        <w:t>对采购项目现场和周围环境的现场考察。</w:t>
      </w:r>
    </w:p>
    <w:p w14:paraId="3E6F26C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7.2勘察现场的费用由供应商自己承担，勘察期间所发生的人身伤害及财产损失由供应商自己负责。</w:t>
      </w:r>
    </w:p>
    <w:p w14:paraId="3947DF55">
      <w:pPr>
        <w:adjustRightInd w:val="0"/>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7.3采购人不对供应商据此而做出的推论、理解和结论负责。一旦成交，供应商不得以任何借口，提出额外补偿，或延长合同期限的要求。</w:t>
      </w:r>
    </w:p>
    <w:p w14:paraId="46D3583A">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b/>
          <w:color w:val="auto"/>
          <w:szCs w:val="21"/>
          <w:highlight w:val="none"/>
        </w:rPr>
        <w:t>8.采购进口产品</w:t>
      </w:r>
      <w:r>
        <w:rPr>
          <w:rFonts w:hint="eastAsia" w:ascii="宋体" w:hAnsi="宋体" w:eastAsia="宋体" w:cs="宋体"/>
          <w:color w:val="auto"/>
          <w:highlight w:val="none"/>
        </w:rPr>
        <w:t>：本项目不适用。</w:t>
      </w:r>
    </w:p>
    <w:p w14:paraId="15726215">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9.</w:t>
      </w:r>
      <w:r>
        <w:rPr>
          <w:rFonts w:hint="eastAsia" w:ascii="宋体" w:hAnsi="宋体" w:eastAsia="宋体" w:cs="宋体"/>
          <w:b/>
          <w:color w:val="auto"/>
          <w:szCs w:val="21"/>
          <w:highlight w:val="none"/>
        </w:rPr>
        <w:t xml:space="preserve"> 政府采购政策支持：</w:t>
      </w:r>
      <w:r>
        <w:rPr>
          <w:rFonts w:hint="eastAsia" w:ascii="宋体" w:hAnsi="宋体" w:eastAsia="宋体" w:cs="宋体"/>
          <w:color w:val="auto"/>
          <w:kern w:val="0"/>
          <w:szCs w:val="21"/>
          <w:highlight w:val="none"/>
        </w:rPr>
        <w:t>本项目不适用。</w:t>
      </w:r>
    </w:p>
    <w:p w14:paraId="319E49DC">
      <w:pPr>
        <w:adjustRightInd w:val="0"/>
        <w:snapToGrid w:val="0"/>
        <w:spacing w:line="360" w:lineRule="auto"/>
        <w:ind w:left="902" w:hanging="902" w:hangingChars="376"/>
        <w:rPr>
          <w:rFonts w:hint="eastAsia" w:ascii="宋体" w:hAnsi="宋体" w:eastAsia="宋体" w:cs="宋体"/>
          <w:color w:val="auto"/>
          <w:sz w:val="24"/>
          <w:highlight w:val="none"/>
        </w:rPr>
      </w:pPr>
      <w:bookmarkStart w:id="20" w:name="_Toc4034_WPSOffice_Level2"/>
      <w:r>
        <w:rPr>
          <w:rFonts w:hint="eastAsia" w:ascii="宋体" w:hAnsi="宋体" w:eastAsia="宋体" w:cs="宋体"/>
          <w:color w:val="auto"/>
          <w:sz w:val="24"/>
          <w:highlight w:val="none"/>
        </w:rPr>
        <w:t>二、磋商文件</w:t>
      </w:r>
      <w:bookmarkEnd w:id="20"/>
    </w:p>
    <w:p w14:paraId="6D6495B6">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10．磋商文件的组成</w:t>
      </w:r>
    </w:p>
    <w:p w14:paraId="27B4FC3E">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10.1 磋商文件由下列文件组成：</w:t>
      </w:r>
    </w:p>
    <w:p w14:paraId="70BCDA0E">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第一章 磋商邀请</w:t>
      </w:r>
    </w:p>
    <w:p w14:paraId="625C79F1">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第二章 磋商须知</w:t>
      </w:r>
    </w:p>
    <w:p w14:paraId="059B07AB">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第三章 合同格式条款</w:t>
      </w:r>
    </w:p>
    <w:p w14:paraId="762F6C21">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第四章 采购需求</w:t>
      </w:r>
    </w:p>
    <w:p w14:paraId="3C5CAF33">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第五章 响应文件组成</w:t>
      </w:r>
    </w:p>
    <w:p w14:paraId="2A9014AC">
      <w:pPr>
        <w:pStyle w:val="22"/>
        <w:adjustRightInd w:val="0"/>
        <w:snapToGrid w:val="0"/>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10.2</w:t>
      </w:r>
      <w:r>
        <w:rPr>
          <w:rFonts w:hint="eastAsia" w:ascii="宋体" w:hAnsi="宋体" w:eastAsia="宋体" w:cs="宋体"/>
          <w:color w:val="auto"/>
          <w:kern w:val="0"/>
          <w:highlight w:val="none"/>
        </w:rPr>
        <w:t>磋商小组根据与供应商磋商情况可能实质性变动的内容，包括采购需求中的技术、服务要求以及合同条款，</w:t>
      </w:r>
      <w:r>
        <w:rPr>
          <w:rFonts w:hint="eastAsia" w:ascii="宋体" w:hAnsi="宋体" w:eastAsia="宋体" w:cs="宋体"/>
          <w:color w:val="auto"/>
          <w:highlight w:val="none"/>
        </w:rPr>
        <w:t>在</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中明确。</w:t>
      </w:r>
    </w:p>
    <w:p w14:paraId="0BD3FFF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10.3</w:t>
      </w:r>
      <w:r>
        <w:rPr>
          <w:rFonts w:hint="eastAsia" w:ascii="宋体" w:hAnsi="宋体" w:eastAsia="宋体" w:cs="宋体"/>
          <w:color w:val="auto"/>
          <w:szCs w:val="21"/>
          <w:highlight w:val="none"/>
        </w:rPr>
        <w:t>供应商应仔细阅读</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文件的全部内容，按照</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文件要求编制响应文件。任何对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文件的忽略或误解不能作为响应文件存在缺陷或瑕疵的理由，其风险由供应商承担。</w:t>
      </w:r>
    </w:p>
    <w:p w14:paraId="11C52B4B">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w:t>
      </w:r>
      <w:r>
        <w:rPr>
          <w:rFonts w:hint="eastAsia" w:ascii="宋体" w:hAnsi="宋体" w:eastAsia="宋体" w:cs="宋体"/>
          <w:b/>
          <w:color w:val="auto"/>
          <w:highlight w:val="none"/>
        </w:rPr>
        <w:t xml:space="preserve"> </w:t>
      </w:r>
      <w:r>
        <w:rPr>
          <w:rFonts w:hint="eastAsia" w:ascii="宋体" w:hAnsi="宋体" w:eastAsia="宋体" w:cs="宋体"/>
          <w:b/>
          <w:color w:val="auto"/>
          <w:szCs w:val="21"/>
          <w:highlight w:val="none"/>
        </w:rPr>
        <w:t>磋商文件的提供期限</w:t>
      </w:r>
    </w:p>
    <w:p w14:paraId="60C4648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11.1具体提供期限见</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w:t>
      </w:r>
    </w:p>
    <w:p w14:paraId="4C57A2D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11.2供应商应按</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规定的方式获取磋商文件。</w:t>
      </w:r>
    </w:p>
    <w:p w14:paraId="32B348BA">
      <w:pPr>
        <w:pStyle w:val="22"/>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12.</w:t>
      </w:r>
      <w:r>
        <w:rPr>
          <w:rFonts w:hint="eastAsia" w:ascii="宋体" w:hAnsi="宋体" w:eastAsia="宋体" w:cs="宋体"/>
          <w:b/>
          <w:color w:val="auto"/>
          <w:kern w:val="0"/>
          <w:highlight w:val="none"/>
        </w:rPr>
        <w:t>提交首次响应文件</w:t>
      </w:r>
      <w:r>
        <w:rPr>
          <w:rFonts w:hint="eastAsia" w:ascii="宋体" w:hAnsi="宋体" w:eastAsia="宋体" w:cs="宋体"/>
          <w:b/>
          <w:color w:val="auto"/>
          <w:highlight w:val="none"/>
        </w:rPr>
        <w:t>的</w:t>
      </w:r>
      <w:r>
        <w:rPr>
          <w:rFonts w:hint="eastAsia" w:ascii="宋体" w:hAnsi="宋体" w:eastAsia="宋体" w:cs="宋体"/>
          <w:b/>
          <w:color w:val="auto"/>
          <w:kern w:val="0"/>
          <w:highlight w:val="none"/>
        </w:rPr>
        <w:t>截止</w:t>
      </w:r>
      <w:r>
        <w:rPr>
          <w:rFonts w:hint="eastAsia" w:ascii="宋体" w:hAnsi="宋体" w:eastAsia="宋体" w:cs="宋体"/>
          <w:b/>
          <w:color w:val="auto"/>
          <w:highlight w:val="none"/>
        </w:rPr>
        <w:t>时间</w:t>
      </w:r>
    </w:p>
    <w:p w14:paraId="654373E0">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w:t>
      </w:r>
      <w:r>
        <w:rPr>
          <w:rFonts w:hint="eastAsia" w:ascii="宋体" w:hAnsi="宋体" w:eastAsia="宋体" w:cs="宋体"/>
          <w:color w:val="auto"/>
          <w:kern w:val="0"/>
          <w:highlight w:val="none"/>
        </w:rPr>
        <w:t>供应商提交首次响应文件截止</w:t>
      </w:r>
      <w:r>
        <w:rPr>
          <w:rFonts w:hint="eastAsia" w:ascii="宋体" w:hAnsi="宋体" w:eastAsia="宋体" w:cs="宋体"/>
          <w:color w:val="auto"/>
          <w:highlight w:val="none"/>
        </w:rPr>
        <w:t>时间见</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w:t>
      </w:r>
    </w:p>
    <w:p w14:paraId="15CA111C">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13.磋商文件的澄清</w:t>
      </w:r>
      <w:r>
        <w:rPr>
          <w:rFonts w:hint="eastAsia" w:ascii="宋体" w:hAnsi="宋体" w:eastAsia="宋体" w:cs="宋体"/>
          <w:b/>
          <w:color w:val="auto"/>
          <w:kern w:val="0"/>
          <w:szCs w:val="21"/>
          <w:highlight w:val="none"/>
          <w:lang w:val="zh-CN"/>
        </w:rPr>
        <w:t>或者</w:t>
      </w:r>
      <w:r>
        <w:rPr>
          <w:rFonts w:hint="eastAsia" w:ascii="宋体" w:hAnsi="宋体" w:eastAsia="宋体" w:cs="宋体"/>
          <w:b/>
          <w:bCs/>
          <w:color w:val="auto"/>
          <w:szCs w:val="21"/>
          <w:highlight w:val="none"/>
        </w:rPr>
        <w:t>修改</w:t>
      </w:r>
    </w:p>
    <w:p w14:paraId="746C8D00">
      <w:pPr>
        <w:adjustRightInd w:val="0"/>
        <w:snapToGrid w:val="0"/>
        <w:spacing w:line="360" w:lineRule="auto"/>
        <w:ind w:right="-105" w:rightChars="-5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13.1</w:t>
      </w:r>
      <w:r>
        <w:rPr>
          <w:rFonts w:hint="eastAsia" w:ascii="宋体" w:hAnsi="宋体" w:eastAsia="宋体" w:cs="宋体"/>
          <w:color w:val="auto"/>
          <w:szCs w:val="21"/>
          <w:highlight w:val="none"/>
          <w:lang w:eastAsia="zh-CN"/>
        </w:rPr>
        <w:t>供应商要求澄清磋商文件的时间为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yellow"/>
          <w:u w:val="single"/>
          <w:lang w:val="en-US" w:eastAsia="zh-CN"/>
        </w:rPr>
        <w:t xml:space="preserve">  </w:t>
      </w:r>
      <w:r>
        <w:rPr>
          <w:rFonts w:hint="eastAsia" w:ascii="宋体" w:hAnsi="宋体" w:eastAsia="宋体" w:cs="宋体"/>
          <w:color w:val="auto"/>
          <w:szCs w:val="21"/>
          <w:highlight w:val="yellow"/>
          <w:lang w:val="en-US" w:eastAsia="zh-CN"/>
        </w:rPr>
        <w:t>月</w:t>
      </w:r>
      <w:r>
        <w:rPr>
          <w:rFonts w:hint="eastAsia" w:ascii="宋体" w:hAnsi="宋体" w:cs="宋体"/>
          <w:color w:val="auto"/>
          <w:szCs w:val="21"/>
          <w:highlight w:val="yellow"/>
          <w:u w:val="single"/>
          <w:lang w:val="en-US" w:eastAsia="zh-CN"/>
        </w:rPr>
        <w:t xml:space="preserve">   </w:t>
      </w:r>
      <w:r>
        <w:rPr>
          <w:rFonts w:hint="eastAsia" w:ascii="宋体" w:hAnsi="宋体" w:eastAsia="宋体" w:cs="宋体"/>
          <w:color w:val="auto"/>
          <w:szCs w:val="21"/>
          <w:highlight w:val="yellow"/>
          <w:lang w:val="en-US" w:eastAsia="zh-CN"/>
        </w:rPr>
        <w:t>日</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lang w:eastAsia="zh-CN"/>
        </w:rPr>
        <w:t>，要求澄清的方式：网络方式, 提交至《长沙水业集团电子招采平台》（http://cg.supplywater.com/）。</w:t>
      </w:r>
      <w:r>
        <w:rPr>
          <w:rFonts w:hint="eastAsia" w:ascii="宋体" w:hAnsi="宋体" w:eastAsia="宋体" w:cs="宋体"/>
          <w:color w:val="auto"/>
          <w:kern w:val="0"/>
          <w:szCs w:val="21"/>
          <w:highlight w:val="none"/>
        </w:rPr>
        <w:t xml:space="preserve"> </w:t>
      </w:r>
    </w:p>
    <w:p w14:paraId="2FDF2509">
      <w:pPr>
        <w:adjustRightInd w:val="0"/>
        <w:snapToGrid w:val="0"/>
        <w:spacing w:line="360" w:lineRule="auto"/>
        <w:ind w:right="-105" w:rightChars="-5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13.2在</w:t>
      </w:r>
      <w:r>
        <w:rPr>
          <w:rFonts w:hint="eastAsia" w:ascii="宋体" w:hAnsi="宋体" w:eastAsia="宋体" w:cs="宋体"/>
          <w:color w:val="auto"/>
          <w:kern w:val="0"/>
          <w:szCs w:val="21"/>
          <w:highlight w:val="none"/>
        </w:rPr>
        <w:t>提交首次响应文件截止之日前，采购人、采购代理机构可以对已发出的磋商文件进行必要的澄清或者修改。</w:t>
      </w:r>
    </w:p>
    <w:p w14:paraId="49D2F6A0">
      <w:pPr>
        <w:adjustRightInd w:val="0"/>
        <w:snapToGrid w:val="0"/>
        <w:spacing w:line="360" w:lineRule="auto"/>
        <w:ind w:right="-105" w:rightChars="-5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3磋商文件的澄清或者修改的内容可能影响响应文件编制的，由采购人在本章第12.1款规定的提交首次响应文件截止之日3日前，在《长沙水业集团电子招采平台》（http://cg.supplywater.com/）发布；不足3日，相应顺延投标截止时间</w:t>
      </w:r>
      <w:r>
        <w:rPr>
          <w:rFonts w:hint="eastAsia" w:ascii="宋体" w:hAnsi="宋体" w:eastAsia="宋体" w:cs="宋体"/>
          <w:color w:val="auto"/>
          <w:kern w:val="0"/>
          <w:szCs w:val="21"/>
          <w:highlight w:val="none"/>
        </w:rPr>
        <w:t>。</w:t>
      </w:r>
    </w:p>
    <w:p w14:paraId="6216B79D">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val="en-US" w:eastAsia="zh-CN"/>
        </w:rPr>
        <w:t>4</w:t>
      </w:r>
      <w:r>
        <w:rPr>
          <w:rFonts w:hint="eastAsia" w:ascii="宋体" w:hAnsi="宋体" w:eastAsia="宋体" w:cs="宋体"/>
          <w:color w:val="auto"/>
          <w:kern w:val="0"/>
          <w:highlight w:val="none"/>
        </w:rPr>
        <w:t>提交首次响应文件截止时间前对磋商文件澄清或者修改内容，为磋商文件的组成部分。</w:t>
      </w:r>
    </w:p>
    <w:p w14:paraId="38675416">
      <w:pPr>
        <w:adjustRightInd w:val="0"/>
        <w:snapToGrid w:val="0"/>
        <w:spacing w:line="360" w:lineRule="auto"/>
        <w:ind w:left="902" w:hanging="902" w:hangingChars="376"/>
        <w:rPr>
          <w:rFonts w:hint="eastAsia" w:ascii="宋体" w:hAnsi="宋体" w:eastAsia="宋体" w:cs="宋体"/>
          <w:color w:val="auto"/>
          <w:sz w:val="24"/>
          <w:highlight w:val="none"/>
        </w:rPr>
      </w:pPr>
      <w:bookmarkStart w:id="21" w:name="_Toc24853_WPSOffice_Level2"/>
      <w:r>
        <w:rPr>
          <w:rFonts w:hint="eastAsia" w:ascii="宋体" w:hAnsi="宋体" w:eastAsia="宋体" w:cs="宋体"/>
          <w:color w:val="auto"/>
          <w:sz w:val="24"/>
          <w:highlight w:val="none"/>
        </w:rPr>
        <w:t>三、响应文件</w:t>
      </w:r>
      <w:bookmarkEnd w:id="21"/>
    </w:p>
    <w:p w14:paraId="49521332">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14.一般要求</w:t>
      </w:r>
    </w:p>
    <w:p w14:paraId="439C1F7B">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 供应商应仔细阅读磋商文件的所有内容，按磋商文件的要求编制响应文件，并保证所提供的全部资料的真实性，以使其响应文件对磋商文件做出实质性的响应。</w:t>
      </w:r>
    </w:p>
    <w:p w14:paraId="422867D8">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14.2 </w:t>
      </w:r>
      <w:r>
        <w:rPr>
          <w:rFonts w:hint="eastAsia" w:ascii="宋体" w:hAnsi="宋体" w:eastAsia="宋体" w:cs="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549A76C9">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 xml:space="preserve">14.3 </w:t>
      </w:r>
      <w:r>
        <w:rPr>
          <w:rFonts w:hint="eastAsia" w:ascii="宋体" w:hAnsi="宋体" w:eastAsia="宋体" w:cs="宋体"/>
          <w:color w:val="auto"/>
          <w:highlight w:val="none"/>
        </w:rPr>
        <w:t>计量单位应使用我国法定计量单位，未列明时应默认为我国法定计量单位。</w:t>
      </w:r>
    </w:p>
    <w:p w14:paraId="220F5385">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14.4 响应文件应</w:t>
      </w:r>
      <w:r>
        <w:rPr>
          <w:rFonts w:hint="eastAsia" w:ascii="宋体" w:hAnsi="宋体" w:eastAsia="宋体" w:cs="宋体"/>
          <w:color w:val="auto"/>
          <w:highlight w:val="none"/>
          <w:lang w:eastAsia="zh-CN"/>
        </w:rPr>
        <w:t>按磋商公告的要求编制递交</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书面、</w:t>
      </w:r>
      <w:r>
        <w:rPr>
          <w:rFonts w:hint="eastAsia" w:ascii="宋体" w:hAnsi="宋体" w:eastAsia="宋体" w:cs="宋体"/>
          <w:color w:val="auto"/>
          <w:highlight w:val="none"/>
        </w:rPr>
        <w:t>电报、传真、电子邮件形式的响应文件概不接受。</w:t>
      </w:r>
    </w:p>
    <w:p w14:paraId="6A72265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14.5 供应商应按磋商文件中提供的响应文件格式填写。</w:t>
      </w:r>
    </w:p>
    <w:p w14:paraId="60A4F474">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的组成</w:t>
      </w:r>
    </w:p>
    <w:p w14:paraId="61C5EF59">
      <w:pPr>
        <w:adjustRightInd w:val="0"/>
        <w:snapToGrid w:val="0"/>
        <w:spacing w:line="360" w:lineRule="auto"/>
        <w:ind w:firstLine="420" w:firstLineChars="200"/>
        <w:jc w:val="left"/>
        <w:rPr>
          <w:rFonts w:hint="eastAsia" w:ascii="宋体" w:hAnsi="宋体" w:eastAsia="宋体" w:cs="宋体"/>
          <w:color w:val="auto"/>
          <w:szCs w:val="21"/>
          <w:highlight w:val="none"/>
        </w:rPr>
      </w:pPr>
      <w:bookmarkStart w:id="22" w:name="_Toc22927"/>
      <w:r>
        <w:rPr>
          <w:rFonts w:hint="eastAsia" w:ascii="宋体" w:hAnsi="宋体" w:eastAsia="宋体" w:cs="宋体"/>
          <w:color w:val="auto"/>
          <w:highlight w:val="none"/>
        </w:rPr>
        <w:t>15.1 响应文件包括下列内容：</w:t>
      </w:r>
      <w:bookmarkEnd w:id="22"/>
      <w:r>
        <w:rPr>
          <w:rFonts w:hint="eastAsia" w:ascii="宋体" w:hAnsi="宋体" w:eastAsia="宋体" w:cs="宋体"/>
          <w:color w:val="auto"/>
          <w:szCs w:val="21"/>
          <w:highlight w:val="none"/>
        </w:rPr>
        <w:t xml:space="preserve"> </w:t>
      </w:r>
    </w:p>
    <w:p w14:paraId="6F5B1D66">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（1）磋商响应声明</w:t>
      </w:r>
    </w:p>
    <w:p w14:paraId="0A5529EE">
      <w:pPr>
        <w:pStyle w:val="22"/>
        <w:adjustRightInd w:val="0"/>
        <w:snapToGrid w:val="0"/>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hAnsi="宋体" w:cs="宋体"/>
          <w:color w:val="auto"/>
          <w:highlight w:val="none"/>
          <w:lang w:val="en-US" w:eastAsia="zh-CN"/>
        </w:rPr>
        <w:t>磋商承诺书</w:t>
      </w:r>
    </w:p>
    <w:p w14:paraId="15E22FE2">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（3）供应商的资格证明文件</w:t>
      </w:r>
    </w:p>
    <w:p w14:paraId="360C4CE3">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bCs/>
          <w:color w:val="auto"/>
          <w:highlight w:val="none"/>
          <w:lang w:eastAsia="zh-CN"/>
        </w:rPr>
        <w:t>服务</w:t>
      </w:r>
      <w:r>
        <w:rPr>
          <w:rFonts w:hint="eastAsia" w:ascii="宋体" w:hAnsi="宋体" w:eastAsia="宋体" w:cs="宋体"/>
          <w:bCs/>
          <w:color w:val="auto"/>
          <w:highlight w:val="none"/>
        </w:rPr>
        <w:t>方案</w:t>
      </w:r>
    </w:p>
    <w:p w14:paraId="36937FB1">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（5）技术/商务响应与偏离表</w:t>
      </w:r>
    </w:p>
    <w:p w14:paraId="0A44E9A8">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（6）报价一览表</w:t>
      </w:r>
    </w:p>
    <w:p w14:paraId="4E0EE3C5">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（7）供应商认为需提供的其他资料</w:t>
      </w:r>
    </w:p>
    <w:p w14:paraId="11D1528B">
      <w:pPr>
        <w:adjustRightInd w:val="0"/>
        <w:snapToGrid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15.2</w:t>
      </w:r>
      <w:r>
        <w:rPr>
          <w:rFonts w:hint="eastAsia" w:ascii="宋体" w:hAnsi="宋体" w:eastAsia="宋体" w:cs="宋体"/>
          <w:color w:val="auto"/>
          <w:kern w:val="0"/>
          <w:szCs w:val="21"/>
          <w:highlight w:val="none"/>
        </w:rPr>
        <w:t>磋商文件规定可能发生实质性变动的，供应商应当在</w:t>
      </w:r>
      <w:r>
        <w:rPr>
          <w:rFonts w:hint="eastAsia" w:ascii="宋体" w:hAnsi="宋体" w:eastAsia="宋体" w:cs="宋体"/>
          <w:color w:val="auto"/>
          <w:highlight w:val="none"/>
        </w:rPr>
        <w:t>《技术/商务响应与偏离表》中对应内容注明。</w:t>
      </w:r>
    </w:p>
    <w:p w14:paraId="3E9B85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15.3</w:t>
      </w:r>
      <w:r>
        <w:rPr>
          <w:rFonts w:hint="eastAsia" w:ascii="宋体" w:hAnsi="宋体" w:eastAsia="宋体" w:cs="宋体"/>
          <w:color w:val="auto"/>
          <w:szCs w:val="21"/>
          <w:highlight w:val="none"/>
        </w:rPr>
        <w:t>供应商无论成交与否，其响应文件不予退还。</w:t>
      </w:r>
    </w:p>
    <w:p w14:paraId="429DE75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16.报价</w:t>
      </w:r>
    </w:p>
    <w:p w14:paraId="5BF1A30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16.1供应商应当根据磋商文件要求和范围，</w:t>
      </w:r>
      <w:r>
        <w:rPr>
          <w:rFonts w:hint="eastAsia" w:ascii="宋体" w:hAnsi="宋体" w:eastAsia="宋体" w:cs="宋体"/>
          <w:color w:val="auto"/>
          <w:szCs w:val="21"/>
          <w:highlight w:val="none"/>
          <w:lang w:val="en-US" w:eastAsia="zh-CN"/>
        </w:rPr>
        <w:t>以</w:t>
      </w:r>
      <w:r>
        <w:rPr>
          <w:rFonts w:hint="eastAsia" w:ascii="宋体" w:hAnsi="宋体" w:cs="宋体"/>
          <w:color w:val="auto"/>
          <w:szCs w:val="21"/>
          <w:highlight w:val="none"/>
          <w:lang w:val="en-US" w:eastAsia="zh-CN"/>
        </w:rPr>
        <w:t>总价</w:t>
      </w:r>
      <w:r>
        <w:rPr>
          <w:rFonts w:hint="eastAsia" w:ascii="宋体" w:hAnsi="宋体" w:eastAsia="宋体" w:cs="宋体"/>
          <w:color w:val="auto"/>
          <w:szCs w:val="21"/>
          <w:highlight w:val="none"/>
          <w:lang w:val="en-US" w:eastAsia="zh-CN"/>
        </w:rPr>
        <w:t>进行报价，以</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lang w:val="en-US" w:eastAsia="zh-CN"/>
        </w:rPr>
        <w:t>为单位</w:t>
      </w:r>
      <w:r>
        <w:rPr>
          <w:rFonts w:hint="eastAsia" w:ascii="宋体" w:hAnsi="宋体" w:eastAsia="宋体" w:cs="宋体"/>
          <w:color w:val="auto"/>
          <w:szCs w:val="21"/>
          <w:highlight w:val="none"/>
        </w:rPr>
        <w:t>，保留小数点后</w:t>
      </w:r>
      <w:r>
        <w:rPr>
          <w:rFonts w:hint="eastAsia" w:ascii="宋体" w:hAnsi="宋体" w:cs="宋体"/>
          <w:color w:val="auto"/>
          <w:szCs w:val="21"/>
          <w:highlight w:val="none"/>
          <w:lang w:val="en-US" w:eastAsia="zh-CN"/>
        </w:rPr>
        <w:t>两位</w:t>
      </w:r>
      <w:r>
        <w:rPr>
          <w:rFonts w:hint="eastAsia" w:ascii="宋体" w:hAnsi="宋体" w:eastAsia="宋体" w:cs="宋体"/>
          <w:color w:val="auto"/>
          <w:szCs w:val="21"/>
          <w:highlight w:val="none"/>
        </w:rPr>
        <w:t>。</w:t>
      </w:r>
    </w:p>
    <w:p w14:paraId="71B8A8E7">
      <w:pPr>
        <w:pStyle w:val="9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16.2供应商应按第五章 响应文件组成格式填写。</w:t>
      </w:r>
    </w:p>
    <w:p w14:paraId="4C22D294">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highlight w:val="none"/>
          <w:lang w:val="en-US" w:eastAsia="zh-CN"/>
        </w:rPr>
        <w:t>3</w:t>
      </w:r>
      <w:r>
        <w:rPr>
          <w:rFonts w:hint="eastAsia" w:ascii="宋体" w:hAnsi="宋体" w:eastAsia="宋体" w:cs="宋体"/>
          <w:color w:val="auto"/>
          <w:kern w:val="0"/>
          <w:highlight w:val="none"/>
          <w:lang w:val="zh-CN"/>
        </w:rPr>
        <w:t>供应商</w:t>
      </w:r>
      <w:r>
        <w:rPr>
          <w:rFonts w:hint="eastAsia" w:ascii="宋体" w:hAnsi="宋体" w:eastAsia="宋体" w:cs="宋体"/>
          <w:color w:val="auto"/>
          <w:highlight w:val="none"/>
        </w:rPr>
        <w:t>的报价不得超过上限值，具体要求见</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w:t>
      </w:r>
    </w:p>
    <w:p w14:paraId="1A95F236">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16.4</w:t>
      </w:r>
      <w:r>
        <w:rPr>
          <w:rFonts w:hint="eastAsia" w:ascii="宋体" w:hAnsi="宋体" w:eastAsia="宋体" w:cs="宋体"/>
          <w:b/>
          <w:bCs/>
          <w:color w:val="auto"/>
          <w:szCs w:val="21"/>
          <w:highlight w:val="none"/>
          <w:lang w:val="en-US" w:eastAsia="zh-CN"/>
        </w:rPr>
        <w:t>本项目采用一次报价模式（即报价次数为一次）。</w:t>
      </w:r>
    </w:p>
    <w:p w14:paraId="3458688D">
      <w:pPr>
        <w:pStyle w:val="2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17.供应商符合磋商文件规定的证明文件</w:t>
      </w:r>
    </w:p>
    <w:p w14:paraId="42DBAF34">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17.1供应商应提交满足本章第3.1款规定的资格条件要求的证明文件,该证明文件作为响应文件的一部分。</w:t>
      </w:r>
    </w:p>
    <w:p w14:paraId="5495F1E1">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17.2如果供应商为联合体，则应提交联合体各方资格证明文件、联合体协议。否则，在评审时将其视为无效响应。</w:t>
      </w:r>
    </w:p>
    <w:p w14:paraId="3872E71A">
      <w:pPr>
        <w:adjustRightInd w:val="0"/>
        <w:snapToGrid w:val="0"/>
        <w:spacing w:beforeLines="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18．样品提供：本项目不适用。</w:t>
      </w:r>
    </w:p>
    <w:p w14:paraId="440B9635">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w:t>
      </w:r>
      <w:r>
        <w:rPr>
          <w:rFonts w:hint="eastAsia" w:ascii="宋体" w:hAnsi="宋体" w:eastAsia="宋体" w:cs="宋体"/>
          <w:color w:val="auto"/>
          <w:highlight w:val="none"/>
        </w:rPr>
        <w:t xml:space="preserve"> </w:t>
      </w:r>
      <w:r>
        <w:rPr>
          <w:rFonts w:hint="eastAsia" w:ascii="宋体" w:hAnsi="宋体" w:eastAsia="宋体" w:cs="宋体"/>
          <w:b/>
          <w:bCs/>
          <w:color w:val="auto"/>
          <w:szCs w:val="21"/>
          <w:highlight w:val="none"/>
        </w:rPr>
        <w:t>磋商保证金</w:t>
      </w:r>
    </w:p>
    <w:p w14:paraId="34699B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19.1本项目不设磋商保证金，采用投标承诺方式，具体承诺内容详见第五章响应文件组成附件3。</w:t>
      </w:r>
    </w:p>
    <w:p w14:paraId="686A47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19.2未按要求承诺的，磋商小组应否决其投标。</w:t>
      </w:r>
    </w:p>
    <w:p w14:paraId="17D49B2B">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w:t>
      </w:r>
      <w:r>
        <w:rPr>
          <w:rFonts w:hint="eastAsia" w:ascii="宋体" w:hAnsi="宋体" w:eastAsia="宋体" w:cs="宋体"/>
          <w:color w:val="auto"/>
          <w:szCs w:val="21"/>
          <w:highlight w:val="none"/>
        </w:rPr>
        <w:t xml:space="preserve"> </w:t>
      </w:r>
      <w:r>
        <w:rPr>
          <w:rFonts w:hint="eastAsia" w:ascii="宋体" w:hAnsi="宋体" w:eastAsia="宋体" w:cs="宋体"/>
          <w:b/>
          <w:color w:val="auto"/>
          <w:highlight w:val="none"/>
        </w:rPr>
        <w:t>响应文件</w:t>
      </w:r>
      <w:r>
        <w:rPr>
          <w:rFonts w:hint="eastAsia" w:ascii="宋体" w:hAnsi="宋体" w:eastAsia="宋体" w:cs="宋体"/>
          <w:b/>
          <w:color w:val="auto"/>
          <w:szCs w:val="21"/>
          <w:highlight w:val="none"/>
        </w:rPr>
        <w:t>有效期</w:t>
      </w:r>
    </w:p>
    <w:p w14:paraId="5D59599C">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20.1响应文件</w:t>
      </w:r>
      <w:r>
        <w:rPr>
          <w:rFonts w:hint="eastAsia" w:ascii="宋体" w:hAnsi="宋体" w:eastAsia="宋体" w:cs="宋体"/>
          <w:color w:val="auto"/>
          <w:szCs w:val="21"/>
          <w:highlight w:val="none"/>
        </w:rPr>
        <w:t>有效期见</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，在此期间</w:t>
      </w:r>
      <w:r>
        <w:rPr>
          <w:rFonts w:hint="eastAsia" w:ascii="宋体" w:hAnsi="宋体" w:eastAsia="宋体" w:cs="宋体"/>
          <w:color w:val="auto"/>
          <w:highlight w:val="none"/>
        </w:rPr>
        <w:t>响应</w:t>
      </w:r>
      <w:r>
        <w:rPr>
          <w:rFonts w:hint="eastAsia" w:ascii="宋体" w:hAnsi="宋体" w:eastAsia="宋体" w:cs="宋体"/>
          <w:color w:val="auto"/>
          <w:szCs w:val="21"/>
          <w:highlight w:val="none"/>
        </w:rPr>
        <w:t>文件对供应商具有法律约束力，</w:t>
      </w:r>
      <w:r>
        <w:rPr>
          <w:rFonts w:hint="eastAsia" w:ascii="宋体" w:hAnsi="宋体" w:eastAsia="宋体" w:cs="宋体"/>
          <w:color w:val="auto"/>
          <w:highlight w:val="none"/>
        </w:rPr>
        <w:t>从</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highlight w:val="none"/>
        </w:rPr>
        <w:t>之日起计算。响应文件有效期不足的将被视为无效响应。</w:t>
      </w:r>
    </w:p>
    <w:p w14:paraId="64AAD73B">
      <w:pPr>
        <w:pStyle w:val="17"/>
        <w:rPr>
          <w:rFonts w:hint="eastAsia" w:ascii="宋体" w:hAnsi="宋体" w:eastAsia="宋体" w:cs="宋体"/>
          <w:color w:val="auto"/>
          <w:highlight w:val="none"/>
        </w:rPr>
      </w:pPr>
      <w:r>
        <w:rPr>
          <w:rFonts w:hint="eastAsia" w:ascii="宋体" w:hAnsi="宋体" w:eastAsia="宋体" w:cs="宋体"/>
          <w:color w:val="auto"/>
          <w:sz w:val="24"/>
          <w:highlight w:val="none"/>
        </w:rPr>
        <w:t>四、响应文件的递交</w:t>
      </w:r>
    </w:p>
    <w:p w14:paraId="1C1C7104">
      <w:pPr>
        <w:adjustRightInd w:val="0"/>
        <w:snapToGrid w:val="0"/>
        <w:spacing w:line="360" w:lineRule="auto"/>
        <w:rPr>
          <w:rFonts w:hint="eastAsia" w:ascii="宋体" w:hAnsi="宋体" w:eastAsia="宋体" w:cs="宋体"/>
          <w:b/>
          <w:bCs/>
          <w:color w:val="auto"/>
          <w:szCs w:val="21"/>
          <w:highlight w:val="none"/>
        </w:rPr>
      </w:pPr>
      <w:bookmarkStart w:id="23" w:name="_Toc2216_WPSOffice_Level2"/>
      <w:r>
        <w:rPr>
          <w:rFonts w:hint="eastAsia" w:ascii="宋体" w:hAnsi="宋体" w:eastAsia="宋体" w:cs="宋体"/>
          <w:b/>
          <w:bCs/>
          <w:color w:val="auto"/>
          <w:szCs w:val="21"/>
          <w:highlight w:val="none"/>
        </w:rPr>
        <w:t>21.</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的递交</w:t>
      </w:r>
    </w:p>
    <w:p w14:paraId="46888EEF">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21.1响应文件的递交方式见磋商须知前附表。</w:t>
      </w:r>
    </w:p>
    <w:p w14:paraId="1998491F">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应当按照</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须知前附表的规定</w:t>
      </w:r>
      <w:r>
        <w:rPr>
          <w:rFonts w:hint="eastAsia" w:ascii="宋体" w:hAnsi="宋体" w:eastAsia="宋体" w:cs="宋体"/>
          <w:color w:val="auto"/>
          <w:highlight w:val="none"/>
          <w:lang w:eastAsia="zh-CN"/>
        </w:rPr>
        <w:t>解密</w:t>
      </w:r>
      <w:r>
        <w:rPr>
          <w:rFonts w:hint="eastAsia" w:ascii="宋体" w:hAnsi="宋体" w:eastAsia="宋体" w:cs="宋体"/>
          <w:color w:val="auto"/>
          <w:highlight w:val="none"/>
        </w:rPr>
        <w:t>投标文件。</w:t>
      </w:r>
    </w:p>
    <w:p w14:paraId="09CE37B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21.3</w:t>
      </w:r>
      <w:r>
        <w:rPr>
          <w:rFonts w:hint="eastAsia" w:ascii="宋体" w:hAnsi="宋体" w:eastAsia="宋体" w:cs="宋体"/>
          <w:color w:val="auto"/>
          <w:szCs w:val="21"/>
          <w:highlight w:val="none"/>
        </w:rPr>
        <w:t>响应文件如果未按上述规定递交的，视为无效。</w:t>
      </w:r>
    </w:p>
    <w:p w14:paraId="5B6BDF14">
      <w:pPr>
        <w:adjustRightInd w:val="0"/>
        <w:snapToGrid w:val="0"/>
        <w:spacing w:line="360" w:lineRule="auto"/>
        <w:ind w:firstLine="420"/>
        <w:rPr>
          <w:rFonts w:hint="eastAsia" w:ascii="宋体" w:hAnsi="宋体" w:eastAsia="宋体" w:cs="宋体"/>
          <w:color w:val="auto"/>
          <w:szCs w:val="21"/>
          <w:highlight w:val="none"/>
          <w:lang w:val="en-US"/>
        </w:rPr>
      </w:pPr>
      <w:r>
        <w:rPr>
          <w:rFonts w:hint="eastAsia" w:ascii="宋体" w:hAnsi="宋体" w:eastAsia="宋体" w:cs="宋体"/>
          <w:color w:val="auto"/>
          <w:szCs w:val="24"/>
          <w:highlight w:val="none"/>
          <w:lang w:val="en-US" w:eastAsia="zh-CN"/>
        </w:rPr>
        <w:t>21.4供应商需在开标前进行投标文件上传、开标后20分钟内完成解密，如在上传投标文件、开标解密过程中出现任何问题，应及时与平台人员取得联系，如联系不及时或者供应商自身原因导致无法完成投标文件上传、解密等工作，由供应商自行承担相应后果。招采联系人：（经办人），联系电话：0731-89706069，客服微信：详见磋商公告。</w:t>
      </w:r>
    </w:p>
    <w:p w14:paraId="14174E84">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22.响应文件的</w:t>
      </w:r>
      <w:r>
        <w:rPr>
          <w:rFonts w:hint="eastAsia" w:ascii="宋体" w:hAnsi="宋体" w:eastAsia="宋体" w:cs="宋体"/>
          <w:b/>
          <w:color w:val="auto"/>
          <w:kern w:val="0"/>
          <w:szCs w:val="21"/>
          <w:highlight w:val="none"/>
          <w:lang w:val="zh-CN"/>
        </w:rPr>
        <w:t>补充、修改或者撤回</w:t>
      </w:r>
    </w:p>
    <w:p w14:paraId="7E21BAC9">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22.1</w:t>
      </w:r>
      <w:r>
        <w:rPr>
          <w:rFonts w:hint="eastAsia" w:ascii="宋体" w:hAnsi="宋体" w:eastAsia="宋体" w:cs="宋体"/>
          <w:color w:val="auto"/>
          <w:kern w:val="0"/>
          <w:highlight w:val="none"/>
        </w:rPr>
        <w:t>供应商在提交首次响应文件截止时间前，可以对所提交的首次响应文件进行补充、修改或者撤回</w:t>
      </w:r>
      <w:r>
        <w:rPr>
          <w:rFonts w:hint="eastAsia" w:ascii="宋体" w:hAnsi="宋体" w:eastAsia="宋体" w:cs="宋体"/>
          <w:color w:val="auto"/>
          <w:highlight w:val="none"/>
        </w:rPr>
        <w:t>。</w:t>
      </w:r>
    </w:p>
    <w:p w14:paraId="0FA499E5">
      <w:pPr>
        <w:pStyle w:val="17"/>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22.2</w:t>
      </w:r>
      <w:r>
        <w:rPr>
          <w:rFonts w:hint="eastAsia" w:ascii="宋体" w:hAnsi="宋体" w:eastAsia="宋体" w:cs="宋体"/>
          <w:color w:val="auto"/>
          <w:kern w:val="2"/>
          <w:sz w:val="21"/>
          <w:szCs w:val="21"/>
          <w:highlight w:val="none"/>
          <w:lang w:val="zh-CN" w:eastAsia="zh-CN" w:bidi="ar-SA"/>
        </w:rPr>
        <w:t>补</w:t>
      </w:r>
      <w:r>
        <w:rPr>
          <w:rFonts w:hint="eastAsia" w:ascii="宋体" w:hAnsi="宋体" w:eastAsia="宋体" w:cs="宋体"/>
          <w:color w:val="auto"/>
          <w:kern w:val="0"/>
          <w:highlight w:val="none"/>
          <w:lang w:val="zh-CN"/>
        </w:rPr>
        <w:t>充、修改的内容与响应文件不一致时，以补充、修改的内容为准。</w:t>
      </w:r>
    </w:p>
    <w:bookmarkEnd w:id="23"/>
    <w:p w14:paraId="64A98CB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五、响应文件的磋商与评审</w:t>
      </w:r>
    </w:p>
    <w:p w14:paraId="3F23BC83">
      <w:pPr>
        <w:tabs>
          <w:tab w:val="left" w:pos="0"/>
        </w:tabs>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23.磋商程序</w:t>
      </w:r>
    </w:p>
    <w:p w14:paraId="49F3F2C9">
      <w:pPr>
        <w:widowControl/>
        <w:adjustRightInd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23.1磋商程序：响应文件审查、磋商（包括澄清）、响应文件评审、</w:t>
      </w:r>
      <w:r>
        <w:rPr>
          <w:rFonts w:hint="eastAsia" w:ascii="宋体" w:hAnsi="宋体" w:eastAsia="宋体" w:cs="宋体"/>
          <w:bCs/>
          <w:color w:val="auto"/>
          <w:szCs w:val="21"/>
          <w:highlight w:val="none"/>
        </w:rPr>
        <w:t>提出成交供应商。其中，</w:t>
      </w:r>
      <w:r>
        <w:rPr>
          <w:rFonts w:hint="eastAsia" w:ascii="宋体" w:hAnsi="宋体" w:eastAsia="宋体" w:cs="宋体"/>
          <w:color w:val="auto"/>
          <w:kern w:val="0"/>
          <w:szCs w:val="21"/>
          <w:highlight w:val="none"/>
        </w:rPr>
        <w:t>磋商按</w:t>
      </w:r>
      <w:r>
        <w:rPr>
          <w:rFonts w:hint="eastAsia" w:ascii="宋体" w:hAnsi="宋体" w:eastAsia="宋体" w:cs="宋体"/>
          <w:color w:val="auto"/>
          <w:szCs w:val="21"/>
          <w:highlight w:val="none"/>
        </w:rPr>
        <w:t>本章</w:t>
      </w:r>
      <w:r>
        <w:rPr>
          <w:rFonts w:hint="eastAsia" w:ascii="宋体" w:hAnsi="宋体" w:eastAsia="宋体" w:cs="宋体"/>
          <w:color w:val="auto"/>
          <w:highlight w:val="none"/>
        </w:rPr>
        <w:t>第28.1</w:t>
      </w:r>
      <w:r>
        <w:rPr>
          <w:rFonts w:hint="eastAsia" w:ascii="宋体" w:hAnsi="宋体" w:eastAsia="宋体" w:cs="宋体"/>
          <w:color w:val="auto"/>
          <w:kern w:val="0"/>
          <w:szCs w:val="21"/>
          <w:highlight w:val="none"/>
          <w:lang w:val="zh-CN"/>
        </w:rPr>
        <w:t>款或者</w:t>
      </w:r>
      <w:r>
        <w:rPr>
          <w:rFonts w:hint="eastAsia" w:ascii="宋体" w:hAnsi="宋体" w:eastAsia="宋体" w:cs="宋体"/>
          <w:color w:val="auto"/>
          <w:highlight w:val="none"/>
        </w:rPr>
        <w:t>第28.2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情形</w:t>
      </w:r>
      <w:r>
        <w:rPr>
          <w:rFonts w:hint="eastAsia" w:ascii="宋体" w:hAnsi="宋体" w:eastAsia="宋体" w:cs="宋体"/>
          <w:bCs/>
          <w:color w:val="auto"/>
          <w:szCs w:val="21"/>
          <w:highlight w:val="none"/>
        </w:rPr>
        <w:t>进行。</w:t>
      </w:r>
    </w:p>
    <w:p w14:paraId="2C161060">
      <w:pPr>
        <w:widowControl/>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24.响应文件审查</w:t>
      </w:r>
    </w:p>
    <w:p w14:paraId="276A40E1">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资格性审查：根据本章第3.1项规定的供应商资格条件要求，对</w:t>
      </w:r>
      <w:r>
        <w:rPr>
          <w:rFonts w:hint="eastAsia" w:ascii="宋体" w:hAnsi="宋体" w:eastAsia="宋体" w:cs="宋体"/>
          <w:color w:val="auto"/>
          <w:highlight w:val="none"/>
        </w:rPr>
        <w:t>响应</w:t>
      </w:r>
      <w:r>
        <w:rPr>
          <w:rFonts w:hint="eastAsia" w:ascii="宋体" w:hAnsi="宋体" w:eastAsia="宋体" w:cs="宋体"/>
          <w:color w:val="auto"/>
          <w:szCs w:val="21"/>
          <w:highlight w:val="none"/>
        </w:rPr>
        <w:t>文件的资格证明等进行审查，以确定供应商是否具备磋商资格条件。</w:t>
      </w:r>
    </w:p>
    <w:p w14:paraId="6EB83DC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24.2符合性审查: 对响应文件(包括首次提交的响应文件、重新提交的响应文件)的有效性、完整性和响应程度进行审查，以确定是否对磋商文件的实质性要求作出响应。</w:t>
      </w:r>
    </w:p>
    <w:p w14:paraId="70A3004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24.3响应文件审查结束后，磋商小组所有成员集中与单一供应商分别进行磋商，并给予所有参加磋商的供应商平等的磋商机会。供应商应派其法定代表人或委托代理人参加磋商。</w:t>
      </w:r>
    </w:p>
    <w:p w14:paraId="4C2B5B76">
      <w:pPr>
        <w:pStyle w:val="22"/>
        <w:adjustRightInd w:val="0"/>
        <w:snapToGrid w:val="0"/>
        <w:spacing w:line="360" w:lineRule="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25.实质性响应</w:t>
      </w:r>
    </w:p>
    <w:p w14:paraId="03C0F136">
      <w:pPr>
        <w:pStyle w:val="22"/>
        <w:adjustRightInd w:val="0"/>
        <w:snapToGrid w:val="0"/>
        <w:spacing w:line="360" w:lineRule="auto"/>
        <w:ind w:firstLine="420" w:firstLineChars="200"/>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25.1</w:t>
      </w:r>
      <w:r>
        <w:rPr>
          <w:rFonts w:hint="eastAsia" w:ascii="宋体" w:hAnsi="宋体" w:eastAsia="宋体" w:cs="宋体"/>
          <w:color w:val="auto"/>
          <w:highlight w:val="none"/>
        </w:rPr>
        <w:t>实质性响应是指响应文件(包括首次响应文件、重新提交的响应文件)与磋商文件要求的所有条款、条件和规格相符，没有偏离。偏离指不满足、或不响应磋商文件的要求。</w:t>
      </w:r>
    </w:p>
    <w:p w14:paraId="52986AC4">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w:t>
      </w:r>
      <w:r>
        <w:rPr>
          <w:rFonts w:hint="eastAsia" w:ascii="宋体" w:hAnsi="宋体" w:eastAsia="宋体" w:cs="宋体"/>
          <w:color w:val="auto"/>
          <w:highlight w:val="none"/>
        </w:rPr>
        <w:t>响应文件是否实质性响应磋商文件要求由磋商小组依据磋商文件规定认定。</w:t>
      </w:r>
      <w:r>
        <w:rPr>
          <w:rFonts w:hint="eastAsia" w:ascii="宋体" w:hAnsi="宋体" w:eastAsia="宋体" w:cs="宋体"/>
          <w:color w:val="auto"/>
          <w:kern w:val="0"/>
          <w:szCs w:val="21"/>
          <w:highlight w:val="none"/>
        </w:rPr>
        <w:t>磋商小组</w:t>
      </w:r>
      <w:r>
        <w:rPr>
          <w:rFonts w:hint="eastAsia" w:ascii="宋体" w:hAnsi="宋体" w:eastAsia="宋体" w:cs="宋体"/>
          <w:color w:val="auto"/>
          <w:szCs w:val="21"/>
          <w:highlight w:val="none"/>
        </w:rPr>
        <w:t>决定</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的响应性只根据</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本身的真实无误的内容，而不依据外部的证据。</w:t>
      </w:r>
    </w:p>
    <w:p w14:paraId="6F6622A6">
      <w:pPr>
        <w:pStyle w:val="22"/>
        <w:adjustRightInd w:val="0"/>
        <w:snapToGrid w:val="0"/>
        <w:spacing w:line="360" w:lineRule="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 xml:space="preserve">26.无效响应 </w:t>
      </w:r>
    </w:p>
    <w:p w14:paraId="544CF808">
      <w:pPr>
        <w:pStyle w:val="22"/>
        <w:adjustRightInd w:val="0"/>
        <w:snapToGrid w:val="0"/>
        <w:spacing w:line="360" w:lineRule="auto"/>
        <w:ind w:firstLine="411" w:firstLineChars="196"/>
        <w:rPr>
          <w:rFonts w:hint="eastAsia" w:ascii="宋体" w:hAnsi="宋体" w:eastAsia="宋体" w:cs="宋体"/>
          <w:b/>
          <w:color w:val="auto"/>
          <w:kern w:val="0"/>
          <w:highlight w:val="none"/>
        </w:rPr>
      </w:pPr>
      <w:r>
        <w:rPr>
          <w:rFonts w:hint="eastAsia" w:ascii="宋体" w:hAnsi="宋体" w:eastAsia="宋体" w:cs="宋体"/>
          <w:color w:val="auto"/>
          <w:kern w:val="0"/>
          <w:highlight w:val="none"/>
        </w:rPr>
        <w:t>26.1</w:t>
      </w:r>
      <w:r>
        <w:rPr>
          <w:rFonts w:hint="eastAsia" w:ascii="宋体" w:hAnsi="宋体" w:eastAsia="宋体" w:cs="宋体"/>
          <w:color w:val="auto"/>
          <w:highlight w:val="none"/>
        </w:rPr>
        <w:t>磋商小组在对资格性和符合性进行审查时，有下列情况之一的，属无效响应，</w:t>
      </w:r>
      <w:r>
        <w:rPr>
          <w:rFonts w:hint="eastAsia" w:ascii="宋体" w:hAnsi="宋体" w:eastAsia="宋体" w:cs="宋体"/>
          <w:color w:val="auto"/>
          <w:kern w:val="0"/>
          <w:highlight w:val="none"/>
        </w:rPr>
        <w:t>磋商小组应当告知有关供应商</w:t>
      </w:r>
      <w:r>
        <w:rPr>
          <w:rFonts w:hint="eastAsia" w:ascii="宋体" w:hAnsi="宋体" w:eastAsia="宋体" w:cs="宋体"/>
          <w:color w:val="auto"/>
          <w:highlight w:val="none"/>
        </w:rPr>
        <w:t>：</w:t>
      </w:r>
    </w:p>
    <w:p w14:paraId="6EED0C0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（1）供应商不具备本章第3.1款规定的供应商资格条件要求，或存在本章第3.3款情形的；</w:t>
      </w:r>
    </w:p>
    <w:p w14:paraId="3F996DA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（2）联合体不符合本章第3.2款规定的；</w:t>
      </w:r>
    </w:p>
    <w:p w14:paraId="1EEACAF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（3）应交未交磋商保证金承诺书或承诺书不符合磋商文件要求的；</w:t>
      </w:r>
    </w:p>
    <w:p w14:paraId="1D1DC8E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（4）响应文件未按照磋商文件要求签署、盖章的；</w:t>
      </w:r>
    </w:p>
    <w:p w14:paraId="09B303E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（4）响应文件不满足本章第25.1款规定的实质性要求的；</w:t>
      </w:r>
    </w:p>
    <w:p w14:paraId="2733ABB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（5）投标报价未响应的；</w:t>
      </w:r>
    </w:p>
    <w:p w14:paraId="28FCC80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（6）响应文件有效期不足的；</w:t>
      </w:r>
    </w:p>
    <w:p w14:paraId="15BCA1E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（7）响应文件不符合法律、规章、规范性文件和磋商文件规定及要求的。</w:t>
      </w:r>
    </w:p>
    <w:p w14:paraId="32155C05">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27.澄清</w:t>
      </w:r>
    </w:p>
    <w:p w14:paraId="170FB5F1">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w:t>
      </w:r>
      <w:r>
        <w:rPr>
          <w:rFonts w:hint="eastAsia" w:ascii="宋体" w:hAnsi="宋体" w:eastAsia="宋体" w:cs="宋体"/>
          <w:color w:val="auto"/>
          <w:kern w:val="0"/>
          <w:szCs w:val="21"/>
          <w:highlight w:val="none"/>
          <w:lang w:eastAsia="zh-CN"/>
        </w:rPr>
        <w:t>通过招采平台向供应商发起提问，</w:t>
      </w:r>
      <w:r>
        <w:rPr>
          <w:rFonts w:hint="eastAsia" w:ascii="宋体" w:hAnsi="宋体" w:eastAsia="宋体" w:cs="宋体"/>
          <w:color w:val="auto"/>
          <w:kern w:val="0"/>
          <w:szCs w:val="21"/>
          <w:highlight w:val="none"/>
        </w:rPr>
        <w:t>供应商的澄清、说明或者更正不得超出响应文件的范围或者改变响应文件的实质性内容。</w:t>
      </w:r>
    </w:p>
    <w:p w14:paraId="2216EABE">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28.磋商</w:t>
      </w:r>
    </w:p>
    <w:p w14:paraId="760A58CC">
      <w:pPr>
        <w:widowControl/>
        <w:adjustRightInd w:val="0"/>
        <w:snapToGrid w:val="0"/>
        <w:spacing w:line="360" w:lineRule="auto"/>
        <w:ind w:firstLine="42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28.1</w:t>
      </w:r>
      <w:r>
        <w:rPr>
          <w:rFonts w:hint="eastAsia" w:ascii="宋体" w:hAnsi="宋体" w:eastAsia="宋体" w:cs="宋体"/>
          <w:color w:val="auto"/>
          <w:highlight w:val="none"/>
        </w:rPr>
        <w:t>本章第10.2项</w:t>
      </w:r>
      <w:r>
        <w:rPr>
          <w:rFonts w:hint="eastAsia" w:ascii="宋体" w:hAnsi="宋体" w:eastAsia="宋体" w:cs="宋体"/>
          <w:color w:val="auto"/>
          <w:kern w:val="0"/>
          <w:szCs w:val="21"/>
          <w:highlight w:val="none"/>
        </w:rPr>
        <w:t>未明确磋商文件实质性变动内容的，或者磋商文件明确了可能发生实质性变动内容。</w:t>
      </w:r>
    </w:p>
    <w:p w14:paraId="3738C9F3">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（1）磋商文件明确可能发生实质性变动，但在磋商过程中</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根据磋商情况</w:t>
      </w:r>
      <w:r>
        <w:rPr>
          <w:rFonts w:hint="eastAsia" w:ascii="宋体" w:hAnsi="宋体" w:eastAsia="宋体" w:cs="宋体"/>
          <w:bCs/>
          <w:color w:val="auto"/>
          <w:szCs w:val="21"/>
          <w:highlight w:val="none"/>
        </w:rPr>
        <w:t>认为</w:t>
      </w:r>
      <w:r>
        <w:rPr>
          <w:rFonts w:hint="eastAsia" w:ascii="宋体" w:hAnsi="宋体" w:eastAsia="宋体" w:cs="宋体"/>
          <w:color w:val="auto"/>
          <w:kern w:val="0"/>
          <w:szCs w:val="21"/>
          <w:highlight w:val="none"/>
        </w:rPr>
        <w:t>磋商文件无需发生实质性变动的，磋商小组不另行通知。</w:t>
      </w:r>
    </w:p>
    <w:p w14:paraId="5CEC4ED2">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w:t>
      </w:r>
      <w:r>
        <w:rPr>
          <w:rFonts w:hint="eastAsia" w:ascii="宋体" w:hAnsi="宋体" w:eastAsia="宋体" w:cs="宋体"/>
          <w:color w:val="auto"/>
          <w:highlight w:val="none"/>
        </w:rPr>
        <w:t>本章第10.2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kern w:val="0"/>
          <w:szCs w:val="21"/>
          <w:highlight w:val="none"/>
        </w:rPr>
        <w:t>明确磋商文件实质性变动内容的，</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可以组织多轮磋商。</w:t>
      </w:r>
      <w:r>
        <w:rPr>
          <w:rFonts w:hint="eastAsia" w:ascii="宋体" w:hAnsi="宋体" w:eastAsia="宋体" w:cs="宋体"/>
          <w:bCs/>
          <w:color w:val="auto"/>
          <w:szCs w:val="21"/>
          <w:highlight w:val="none"/>
        </w:rPr>
        <w:t>在每一轮磋商中，磋商小组</w:t>
      </w:r>
      <w:r>
        <w:rPr>
          <w:rFonts w:hint="eastAsia" w:ascii="宋体" w:hAnsi="宋体" w:eastAsia="宋体" w:cs="宋体"/>
          <w:color w:val="auto"/>
          <w:kern w:val="0"/>
          <w:szCs w:val="21"/>
          <w:highlight w:val="none"/>
        </w:rPr>
        <w:t>可以根据磋商文件规定和磋商情况，</w:t>
      </w:r>
      <w:r>
        <w:rPr>
          <w:rFonts w:hint="eastAsia" w:ascii="宋体" w:hAnsi="宋体" w:eastAsia="宋体" w:cs="宋体"/>
          <w:bCs/>
          <w:color w:val="auto"/>
          <w:szCs w:val="21"/>
          <w:highlight w:val="none"/>
        </w:rPr>
        <w:t>对磋商文件的</w:t>
      </w:r>
      <w:r>
        <w:rPr>
          <w:rFonts w:hint="eastAsia" w:ascii="宋体" w:hAnsi="宋体" w:eastAsia="宋体" w:cs="宋体"/>
          <w:color w:val="auto"/>
          <w:kern w:val="0"/>
          <w:szCs w:val="21"/>
          <w:highlight w:val="none"/>
        </w:rPr>
        <w:t>采购需求中的技术、服务要求以及合同草案条款</w:t>
      </w:r>
      <w:r>
        <w:rPr>
          <w:rFonts w:hint="eastAsia" w:ascii="宋体" w:hAnsi="宋体" w:eastAsia="宋体" w:cs="宋体"/>
          <w:bCs/>
          <w:color w:val="auto"/>
          <w:szCs w:val="21"/>
          <w:highlight w:val="none"/>
        </w:rPr>
        <w:t>作实质性变动(磋商文件的实质性变动内容为磋商文件的组成部分)，并要求</w:t>
      </w:r>
      <w:r>
        <w:rPr>
          <w:rFonts w:hint="eastAsia" w:ascii="宋体" w:hAnsi="宋体" w:eastAsia="宋体" w:cs="宋体"/>
          <w:color w:val="auto"/>
          <w:kern w:val="0"/>
          <w:szCs w:val="21"/>
          <w:highlight w:val="none"/>
        </w:rPr>
        <w:t>响应文件审查合格</w:t>
      </w:r>
      <w:r>
        <w:rPr>
          <w:rFonts w:hint="eastAsia" w:ascii="宋体" w:hAnsi="宋体" w:eastAsia="宋体" w:cs="宋体"/>
          <w:bCs/>
          <w:color w:val="auto"/>
          <w:szCs w:val="21"/>
          <w:highlight w:val="none"/>
        </w:rPr>
        <w:t>的供应商，在规定的</w:t>
      </w:r>
      <w:r>
        <w:rPr>
          <w:rFonts w:hint="eastAsia" w:ascii="宋体" w:hAnsi="宋体" w:eastAsia="宋体" w:cs="宋体"/>
          <w:color w:val="auto"/>
          <w:kern w:val="0"/>
          <w:szCs w:val="21"/>
          <w:highlight w:val="none"/>
        </w:rPr>
        <w:t>截止时间前</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新提交响应文件</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磋商小组应当</w:t>
      </w:r>
      <w:r>
        <w:rPr>
          <w:rFonts w:hint="eastAsia" w:ascii="宋体" w:hAnsi="宋体" w:eastAsia="宋体" w:cs="宋体"/>
          <w:color w:val="auto"/>
          <w:szCs w:val="21"/>
          <w:highlight w:val="none"/>
        </w:rPr>
        <w:t>根据本章第24.2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对供应商重新提交的响应文件进行审查。供应商重新提交的响应文件审查不合格的，为无效</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w:t>
      </w:r>
    </w:p>
    <w:p w14:paraId="2AAAAE76">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28.3提交首次响应文件的供应商，不可以退出磋商</w:t>
      </w:r>
      <w:r>
        <w:rPr>
          <w:rFonts w:hint="eastAsia" w:ascii="宋体" w:hAnsi="宋体" w:eastAsia="宋体" w:cs="宋体"/>
          <w:color w:val="auto"/>
          <w:highlight w:val="none"/>
        </w:rPr>
        <w:t>。</w:t>
      </w:r>
    </w:p>
    <w:p w14:paraId="608F250D">
      <w:pPr>
        <w:widowControl/>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color w:val="auto"/>
          <w:kern w:val="0"/>
          <w:szCs w:val="21"/>
          <w:highlight w:val="none"/>
        </w:rPr>
        <w:t>29.响应文件评审</w:t>
      </w:r>
    </w:p>
    <w:p w14:paraId="5C291169">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29.1经磋商确定最终采购需求的供应商后，由磋商小组采用综合评分法对响应文件进行综合评价。</w:t>
      </w:r>
    </w:p>
    <w:p w14:paraId="52FCBABE">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color w:val="auto"/>
          <w:szCs w:val="21"/>
          <w:highlight w:val="none"/>
        </w:rPr>
        <w:t>磋商须知前附表。</w:t>
      </w:r>
    </w:p>
    <w:p w14:paraId="675B0CB0">
      <w:pPr>
        <w:widowControl/>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29.3</w:t>
      </w:r>
      <w:r>
        <w:rPr>
          <w:rFonts w:hint="eastAsia" w:ascii="宋体" w:hAnsi="宋体" w:eastAsia="宋体" w:cs="宋体"/>
          <w:color w:val="auto"/>
          <w:szCs w:val="21"/>
          <w:highlight w:val="none"/>
        </w:rPr>
        <w:t>评审时，磋商小组各成员应当独立对每个供应商的</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进行评价、评分，汇总各供应商的总得分。</w:t>
      </w:r>
    </w:p>
    <w:p w14:paraId="52430520">
      <w:pPr>
        <w:widowControl/>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w:t>
      </w:r>
      <w:r>
        <w:rPr>
          <w:rFonts w:hint="eastAsia" w:ascii="宋体" w:hAnsi="宋体" w:eastAsia="宋体" w:cs="宋体"/>
          <w:b/>
          <w:color w:val="auto"/>
          <w:kern w:val="0"/>
          <w:szCs w:val="21"/>
          <w:highlight w:val="none"/>
        </w:rPr>
        <w:t>.</w:t>
      </w:r>
      <w:r>
        <w:rPr>
          <w:rFonts w:hint="eastAsia" w:ascii="宋体" w:hAnsi="宋体" w:eastAsia="宋体" w:cs="宋体"/>
          <w:b/>
          <w:bCs/>
          <w:color w:val="auto"/>
          <w:szCs w:val="21"/>
          <w:highlight w:val="none"/>
        </w:rPr>
        <w:t>提出成交供应商</w:t>
      </w:r>
    </w:p>
    <w:p w14:paraId="655C0978">
      <w:pPr>
        <w:widowControl/>
        <w:adjustRightInd w:val="0"/>
        <w:snapToGrid w:val="0"/>
        <w:spacing w:before="156" w:beforeLines="50"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30.1磋商小组应当根据综合评分情况，按照评审得分由高到低顺序推荐不多于</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家成交候选供应商，并编写评审报告。评审得分相同的，按照方案得分由高到低的顺序推荐。 </w:t>
      </w:r>
    </w:p>
    <w:p w14:paraId="03526826">
      <w:pPr>
        <w:tabs>
          <w:tab w:val="left" w:pos="0"/>
        </w:tabs>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31.确定成交供应商</w:t>
      </w:r>
    </w:p>
    <w:p w14:paraId="6F705CF1">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31.1采购代理机构应当在评审结束后2个工作日内将评审报告送采购人确认。</w:t>
      </w:r>
    </w:p>
    <w:p w14:paraId="41FD4E26">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31.2采购人应当在收到评审报告后5个工作日内，从评审报告提出的成交候选供应商中，按照排序由高到低的原则确定成交供应商，也可以书面授权磋商小组直接确定成交供应商。</w:t>
      </w:r>
    </w:p>
    <w:p w14:paraId="7BB6C31B">
      <w:pPr>
        <w:pStyle w:val="22"/>
        <w:adjustRightInd w:val="0"/>
        <w:snapToGrid w:val="0"/>
        <w:spacing w:line="360" w:lineRule="auto"/>
        <w:ind w:left="632" w:hanging="632" w:hangingChars="300"/>
        <w:rPr>
          <w:rFonts w:hint="eastAsia" w:ascii="宋体" w:hAnsi="宋体" w:eastAsia="宋体" w:cs="宋体"/>
          <w:b/>
          <w:color w:val="auto"/>
          <w:highlight w:val="none"/>
        </w:rPr>
      </w:pPr>
      <w:r>
        <w:rPr>
          <w:rFonts w:hint="eastAsia" w:ascii="宋体" w:hAnsi="宋体" w:eastAsia="宋体" w:cs="宋体"/>
          <w:b/>
          <w:color w:val="auto"/>
          <w:highlight w:val="none"/>
        </w:rPr>
        <w:t>32.磋商终止</w:t>
      </w:r>
    </w:p>
    <w:p w14:paraId="6876572A">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32.1</w:t>
      </w:r>
      <w:r>
        <w:rPr>
          <w:rFonts w:hint="eastAsia" w:ascii="宋体" w:hAnsi="宋体" w:eastAsia="宋体" w:cs="宋体"/>
          <w:color w:val="auto"/>
          <w:kern w:val="0"/>
          <w:szCs w:val="21"/>
          <w:highlight w:val="none"/>
        </w:rPr>
        <w:t>出现下列情形之一的，采购人或者采购代理机构应当终止</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采购活动，</w:t>
      </w:r>
      <w:r>
        <w:rPr>
          <w:rFonts w:hint="eastAsia" w:ascii="宋体" w:hAnsi="宋体" w:eastAsia="宋体" w:cs="宋体"/>
          <w:color w:val="auto"/>
          <w:highlight w:val="none"/>
        </w:rPr>
        <w:t>在本章第35.1款指定的媒体上</w:t>
      </w:r>
      <w:r>
        <w:rPr>
          <w:rFonts w:hint="eastAsia" w:ascii="宋体" w:hAnsi="宋体" w:eastAsia="宋体" w:cs="宋体"/>
          <w:color w:val="auto"/>
          <w:kern w:val="0"/>
          <w:szCs w:val="21"/>
          <w:highlight w:val="none"/>
        </w:rPr>
        <w:t xml:space="preserve">发布项目终止公告并说明原因，重新开展采购活动： </w:t>
      </w:r>
    </w:p>
    <w:p w14:paraId="099528B6">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（1）因情况变化，不再符合规定的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采购方式适用情形的；</w:t>
      </w:r>
    </w:p>
    <w:p w14:paraId="4E2C2802">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14:paraId="52C43D86">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（3）在采购过程中符合要求的供应商不足3家的；</w:t>
      </w:r>
    </w:p>
    <w:p w14:paraId="0F062A65">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（4）因重大变故，采购任务取消的。</w:t>
      </w:r>
    </w:p>
    <w:p w14:paraId="7F67AADD">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33．重新评审</w:t>
      </w:r>
    </w:p>
    <w:p w14:paraId="0BAFD230">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59F44342">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34.保密及串通行为</w:t>
      </w:r>
    </w:p>
    <w:p w14:paraId="1D9EBFBC">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34.1磋商小组成员以及与评审工作有关的人员不得泄露评审情况以及评审过程中获悉的国家秘密、商业秘密。</w:t>
      </w:r>
    </w:p>
    <w:p w14:paraId="200863D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不得与</w:t>
      </w:r>
      <w:r>
        <w:rPr>
          <w:rFonts w:hint="eastAsia" w:ascii="宋体" w:hAnsi="宋体" w:eastAsia="宋体" w:cs="宋体"/>
          <w:color w:val="auto"/>
          <w:kern w:val="0"/>
          <w:szCs w:val="21"/>
          <w:highlight w:val="none"/>
        </w:rPr>
        <w:t>采购人、采购代理机构、其他供应商恶意</w:t>
      </w:r>
      <w:r>
        <w:rPr>
          <w:rFonts w:hint="eastAsia" w:ascii="宋体" w:hAnsi="宋体" w:eastAsia="宋体" w:cs="宋体"/>
          <w:color w:val="auto"/>
          <w:szCs w:val="21"/>
          <w:highlight w:val="none"/>
        </w:rPr>
        <w:t>串通；不得向</w:t>
      </w:r>
      <w:r>
        <w:rPr>
          <w:rFonts w:hint="eastAsia" w:ascii="宋体" w:hAnsi="宋体" w:eastAsia="宋体" w:cs="宋体"/>
          <w:color w:val="auto"/>
          <w:kern w:val="0"/>
          <w:szCs w:val="21"/>
          <w:highlight w:val="none"/>
        </w:rPr>
        <w:t>采购人、采购代理机构</w:t>
      </w:r>
      <w:r>
        <w:rPr>
          <w:rFonts w:hint="eastAsia" w:ascii="宋体" w:hAnsi="宋体" w:eastAsia="宋体" w:cs="宋体"/>
          <w:color w:val="auto"/>
          <w:szCs w:val="21"/>
          <w:highlight w:val="none"/>
        </w:rPr>
        <w:t>或者磋商小组成员行贿或者提供其他不正当利益；不得提供虚假资料谋取成交；不得以任何方式干扰、影响采购工作。</w:t>
      </w:r>
    </w:p>
    <w:p w14:paraId="67C3B4A9">
      <w:pPr>
        <w:pStyle w:val="38"/>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34.3</w:t>
      </w:r>
      <w:r>
        <w:rPr>
          <w:rFonts w:hint="eastAsia" w:ascii="宋体" w:hAnsi="宋体" w:eastAsia="宋体" w:cs="宋体"/>
          <w:color w:val="auto"/>
          <w:sz w:val="21"/>
          <w:szCs w:val="21"/>
          <w:highlight w:val="none"/>
          <w:lang w:val="zh-CN"/>
        </w:rPr>
        <w:t>有下列情形之一的，属于恶意串通，对供应商依照政府采购法第七十七条第一款的规定追究法律责任：</w:t>
      </w:r>
    </w:p>
    <w:p w14:paraId="50ACEC41">
      <w:pPr>
        <w:pStyle w:val="38"/>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（一）供应商直接或者间接从采购人或者采购代理机构处获得其他供应商的相关情况并修改其投标文件或者响应文件；</w:t>
      </w:r>
    </w:p>
    <w:p w14:paraId="015B3102">
      <w:pPr>
        <w:pStyle w:val="38"/>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（二）供应商按照采购人或者采购代理机构的授意撤换、修改投标文件或者响应文件；</w:t>
      </w:r>
    </w:p>
    <w:p w14:paraId="7C1206E3">
      <w:pPr>
        <w:pStyle w:val="38"/>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（三）供应商之间协商技术方案等投标文件或者响应文件的实质性内容；</w:t>
      </w:r>
    </w:p>
    <w:p w14:paraId="0A15FC50">
      <w:pPr>
        <w:pStyle w:val="38"/>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（四）属于同一集团、协会、商会等组织成员的供应商按照该组织要求协同参加政府采购活动；</w:t>
      </w:r>
    </w:p>
    <w:p w14:paraId="303677D5">
      <w:pPr>
        <w:pStyle w:val="38"/>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（五）供应商之间事先约定由某一特定供应商中标、成交；</w:t>
      </w:r>
    </w:p>
    <w:p w14:paraId="4D563160">
      <w:pPr>
        <w:pStyle w:val="38"/>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（六）供应商之间商定部分供应商放弃参加政府采购活动或者放弃中标、成交；</w:t>
      </w:r>
    </w:p>
    <w:p w14:paraId="579E0EBB">
      <w:pPr>
        <w:pStyle w:val="38"/>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（七）供应商与采购人或者采购代理机构之间、供应商相互之间，为谋求特定供应商中标、成交或者排斥其他供应商的其他串通行为。</w:t>
      </w:r>
    </w:p>
    <w:p w14:paraId="3A4FA3F4">
      <w:pPr>
        <w:adjustRightInd w:val="0"/>
        <w:snapToGrid w:val="0"/>
        <w:spacing w:line="360" w:lineRule="auto"/>
        <w:rPr>
          <w:rFonts w:hint="eastAsia" w:ascii="宋体" w:hAnsi="宋体" w:eastAsia="宋体" w:cs="宋体"/>
          <w:color w:val="auto"/>
          <w:sz w:val="24"/>
          <w:highlight w:val="none"/>
        </w:rPr>
      </w:pPr>
      <w:bookmarkStart w:id="24" w:name="_Toc16302_WPSOffice_Level2"/>
      <w:r>
        <w:rPr>
          <w:rFonts w:hint="eastAsia" w:ascii="宋体" w:hAnsi="宋体" w:eastAsia="宋体" w:cs="宋体"/>
          <w:color w:val="auto"/>
          <w:sz w:val="24"/>
          <w:highlight w:val="none"/>
        </w:rPr>
        <w:t>六、成交结果信息公布与授予合同</w:t>
      </w:r>
      <w:bookmarkEnd w:id="24"/>
    </w:p>
    <w:p w14:paraId="4E0443FF">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35.成交信息的公布</w:t>
      </w:r>
    </w:p>
    <w:p w14:paraId="44E843CB">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35.1成交供应商确定后2个工作日内，成交结果信息将在</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指定的媒体上公布。</w:t>
      </w:r>
    </w:p>
    <w:p w14:paraId="3B6AF23C">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36.询问及质疑</w:t>
      </w:r>
    </w:p>
    <w:p w14:paraId="445CC7AD">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36.1供应商对采购活动事项有疑问的，可以向采购人或采购代理机构提出询问。</w:t>
      </w:r>
    </w:p>
    <w:p w14:paraId="6507912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36.2供应商若认为磋商文件、采购过程和成交结果使自己的权益受到损害，可以按法律、行政法规规定向采购人或采购代理机构提出质疑。</w:t>
      </w:r>
    </w:p>
    <w:p w14:paraId="7080BB6E">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37.成交通知</w:t>
      </w:r>
    </w:p>
    <w:p w14:paraId="7A6F8AEC">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37.1成交供应商确定后，采购人或采购代理机构将以书面形式向成交供应商发出成交通知书。成交通知书对采购人和成交供应商具有同等法律效力。</w:t>
      </w:r>
    </w:p>
    <w:p w14:paraId="7C0C9240">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37.2 成交通知书是合同文件的组成部分。</w:t>
      </w:r>
    </w:p>
    <w:p w14:paraId="3CAF5174">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37.3 成交供应商在收到采购代理机构的成交通知书后10日内，应按照磋商须知前附表的规定，向采购人提交履约担保。联合体成交的，履约担保由联合体各方或联合体中牵头人的名义提交。</w:t>
      </w:r>
    </w:p>
    <w:p w14:paraId="26FBF0A6">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37.4 成交供应商没有按照本章第37.3款规定提交履约担保的，视为放弃成交资格。</w:t>
      </w:r>
    </w:p>
    <w:p w14:paraId="2DD58320">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38</w:t>
      </w:r>
      <w:r>
        <w:rPr>
          <w:rFonts w:hint="eastAsia" w:ascii="宋体" w:hAnsi="宋体" w:eastAsia="宋体" w:cs="宋体"/>
          <w:b/>
          <w:bCs/>
          <w:color w:val="auto"/>
          <w:szCs w:val="21"/>
          <w:highlight w:val="none"/>
        </w:rPr>
        <w:t>.签订合同</w:t>
      </w:r>
    </w:p>
    <w:p w14:paraId="229DC78E">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38.1成交供应商应当在成交通知书发出之日起30日内与采购人签订采购合同。</w:t>
      </w:r>
    </w:p>
    <w:p w14:paraId="7DAF3EBD">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38.2磋商文件、成交供应商的响应文件等均为签订采购合同的依据。</w:t>
      </w:r>
    </w:p>
    <w:p w14:paraId="44865E85">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38.3 成交供应商应当按照合同约定履行义务。成交供应商不得向他人转让成交项目，也不得将成交项目分包后分别向他人转让。</w:t>
      </w:r>
    </w:p>
    <w:p w14:paraId="025596A7">
      <w:pPr>
        <w:pStyle w:val="22"/>
        <w:adjustRightInd w:val="0"/>
        <w:snapToGrid w:val="0"/>
        <w:spacing w:line="360" w:lineRule="auto"/>
        <w:ind w:firstLine="420" w:firstLineChars="200"/>
        <w:rPr>
          <w:rFonts w:hint="eastAsia" w:ascii="宋体" w:hAnsi="宋体" w:eastAsia="宋体" w:cs="宋体"/>
          <w:color w:val="auto"/>
          <w:highlight w:val="none"/>
        </w:rPr>
      </w:pPr>
      <w:bookmarkStart w:id="25" w:name="_Toc44_WPSOffice_Level2"/>
      <w:r>
        <w:rPr>
          <w:rFonts w:hint="eastAsia" w:ascii="宋体" w:hAnsi="宋体" w:eastAsia="宋体" w:cs="宋体"/>
          <w:color w:val="auto"/>
          <w:highlight w:val="none"/>
        </w:rPr>
        <w:t>38.4 存在以下情形的供应商，将纳入集团黑名单，合同立即终止，2年内不得参加集团任何</w:t>
      </w:r>
      <w:r>
        <w:rPr>
          <w:rFonts w:hint="eastAsia" w:ascii="宋体" w:hAnsi="宋体" w:eastAsia="宋体" w:cs="宋体"/>
          <w:color w:val="auto"/>
          <w:highlight w:val="none"/>
          <w:lang w:val="en-US" w:eastAsia="zh-CN"/>
        </w:rPr>
        <w:t>自主</w:t>
      </w:r>
      <w:r>
        <w:rPr>
          <w:rFonts w:hint="eastAsia" w:ascii="宋体" w:hAnsi="宋体" w:eastAsia="宋体" w:cs="宋体"/>
          <w:color w:val="auto"/>
          <w:highlight w:val="none"/>
        </w:rPr>
        <w:t>采购项目。</w:t>
      </w:r>
    </w:p>
    <w:p w14:paraId="30C219F1">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（一）以不当手段谋取中标资格的；</w:t>
      </w:r>
    </w:p>
    <w:p w14:paraId="32BE8FEC">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（二）参与围标串标的，同时没收其投标保证金；</w:t>
      </w:r>
    </w:p>
    <w:p w14:paraId="16B6D4FE">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（三）无故不签订合同或拖延导致合同无法签订的；</w:t>
      </w:r>
    </w:p>
    <w:p w14:paraId="722C3945">
      <w:pPr>
        <w:pStyle w:val="22"/>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（四）合同履行期间存在产品或服务质量问题的，拒绝整改、整改不到位</w:t>
      </w:r>
      <w:r>
        <w:rPr>
          <w:rFonts w:hint="eastAsia" w:ascii="宋体" w:hAnsi="宋体" w:eastAsia="宋体" w:cs="宋体"/>
          <w:color w:val="auto"/>
          <w:highlight w:val="none"/>
          <w:lang w:val="en-US" w:eastAsia="zh-CN"/>
        </w:rPr>
        <w:t>对我司生产经营造成较大影响</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涉及饮用水安全的材料，检测不合格的；</w:t>
      </w:r>
    </w:p>
    <w:p w14:paraId="5AF28834">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（五）与其他供应商串通或利用市场优势地位，谋求不正当利益的；</w:t>
      </w:r>
    </w:p>
    <w:p w14:paraId="7EDE1227">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（六）符合降价条件的，供应商拒不同意降价且不提供相关证明资料的；</w:t>
      </w:r>
    </w:p>
    <w:p w14:paraId="688202A4">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）考核评分低于60分的；</w:t>
      </w:r>
    </w:p>
    <w:p w14:paraId="67E7918E">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）被纳入失信名单或存在其他违反诚实信用行为影响合同继续履行的；</w:t>
      </w:r>
    </w:p>
    <w:p w14:paraId="56117FEE">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）存在违约行为，导致合同无法履行的；</w:t>
      </w:r>
    </w:p>
    <w:p w14:paraId="31BE8355">
      <w:pPr>
        <w:pStyle w:val="22"/>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（十）存在行贿等其他违法违纪行为的。</w:t>
      </w:r>
    </w:p>
    <w:p w14:paraId="36550D22">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七、其他规定</w:t>
      </w:r>
      <w:bookmarkEnd w:id="25"/>
    </w:p>
    <w:p w14:paraId="26BD2565">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39.采购代理服务费</w:t>
      </w:r>
    </w:p>
    <w:p w14:paraId="6B21AF0E">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39.1采购代理机构应按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规定收取采购代理服务费。</w:t>
      </w:r>
    </w:p>
    <w:p w14:paraId="7BAB3F99">
      <w:pPr>
        <w:tabs>
          <w:tab w:val="left" w:pos="420"/>
          <w:tab w:val="left" w:pos="7560"/>
          <w:tab w:val="left" w:pos="7740"/>
          <w:tab w:val="left" w:pos="7920"/>
        </w:tabs>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szCs w:val="21"/>
          <w:highlight w:val="none"/>
        </w:rPr>
        <w:t>40.</w:t>
      </w:r>
      <w:r>
        <w:rPr>
          <w:rFonts w:hint="eastAsia" w:ascii="宋体" w:hAnsi="宋体" w:eastAsia="宋体" w:cs="宋体"/>
          <w:b/>
          <w:color w:val="auto"/>
          <w:highlight w:val="none"/>
        </w:rPr>
        <w:t>其他规定</w:t>
      </w:r>
    </w:p>
    <w:p w14:paraId="7271DA92">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40.1</w:t>
      </w:r>
      <w:r>
        <w:rPr>
          <w:rFonts w:hint="eastAsia" w:ascii="宋体" w:hAnsi="宋体" w:eastAsia="宋体" w:cs="宋体"/>
          <w:color w:val="auto"/>
          <w:szCs w:val="21"/>
          <w:highlight w:val="none"/>
        </w:rPr>
        <w:t>磋商文件</w:t>
      </w:r>
      <w:r>
        <w:rPr>
          <w:rFonts w:hint="eastAsia" w:ascii="宋体" w:hAnsi="宋体" w:eastAsia="宋体" w:cs="宋体"/>
          <w:color w:val="auto"/>
          <w:highlight w:val="none"/>
        </w:rPr>
        <w:t>的其他规定</w:t>
      </w:r>
      <w:r>
        <w:rPr>
          <w:rFonts w:hint="eastAsia" w:ascii="宋体" w:hAnsi="宋体" w:eastAsia="宋体" w:cs="宋体"/>
          <w:color w:val="auto"/>
          <w:szCs w:val="21"/>
          <w:highlight w:val="none"/>
        </w:rPr>
        <w:t>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13689437">
      <w:pPr>
        <w:numPr>
          <w:ilvl w:val="0"/>
          <w:numId w:val="1"/>
        </w:numPr>
        <w:adjustRightInd w:val="0"/>
        <w:snapToGrid w:val="0"/>
        <w:spacing w:beforeLines="50" w:line="360" w:lineRule="auto"/>
        <w:jc w:val="center"/>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2"/>
          <w:szCs w:val="32"/>
          <w:highlight w:val="yellow"/>
        </w:rPr>
        <w:br w:type="page"/>
      </w:r>
      <w:bookmarkStart w:id="26" w:name="_Toc22553"/>
      <w:bookmarkStart w:id="27" w:name="_Toc11793_WPSOffice_Level1"/>
      <w:bookmarkStart w:id="28" w:name="_Toc26244"/>
      <w:bookmarkStart w:id="29" w:name="_Toc18821"/>
      <w:bookmarkStart w:id="30" w:name="_Toc11064_WPSOffice_Level1"/>
      <w:bookmarkStart w:id="31" w:name="_Toc20545"/>
      <w:r>
        <w:rPr>
          <w:rFonts w:hint="eastAsia" w:ascii="宋体" w:hAnsi="宋体" w:eastAsia="宋体" w:cs="宋体"/>
          <w:b/>
          <w:bCs/>
          <w:color w:val="auto"/>
          <w:sz w:val="32"/>
          <w:szCs w:val="32"/>
          <w:highlight w:val="none"/>
          <w:lang w:val="en-US" w:eastAsia="zh-CN"/>
        </w:rPr>
        <w:t xml:space="preserve"> 合同格式</w:t>
      </w:r>
      <w:bookmarkEnd w:id="26"/>
      <w:bookmarkEnd w:id="27"/>
      <w:bookmarkEnd w:id="28"/>
    </w:p>
    <w:p w14:paraId="75037EDE">
      <w:pPr>
        <w:spacing w:beforeLines="50" w:afterLines="50" w:line="480" w:lineRule="exact"/>
        <w:jc w:val="center"/>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以最终签署合同为准</w:t>
      </w:r>
      <w:r>
        <w:rPr>
          <w:rFonts w:hint="eastAsia" w:ascii="宋体" w:hAnsi="宋体" w:cs="宋体"/>
          <w:color w:val="auto"/>
          <w:sz w:val="28"/>
          <w:szCs w:val="28"/>
          <w:highlight w:val="none"/>
          <w:lang w:eastAsia="zh-CN"/>
        </w:rPr>
        <w:t>）</w:t>
      </w:r>
    </w:p>
    <w:p w14:paraId="183BA415">
      <w:pPr>
        <w:autoSpaceDE w:val="0"/>
        <w:autoSpaceDN w:val="0"/>
        <w:adjustRightInd w:val="0"/>
        <w:spacing w:line="480" w:lineRule="exact"/>
        <w:jc w:val="center"/>
        <w:rPr>
          <w:rFonts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长沙市排水有限责任公司</w:t>
      </w:r>
    </w:p>
    <w:p w14:paraId="631DFDB6">
      <w:pPr>
        <w:autoSpaceDE w:val="0"/>
        <w:autoSpaceDN w:val="0"/>
        <w:adjustRightInd w:val="0"/>
        <w:spacing w:line="480" w:lineRule="exact"/>
        <w:jc w:val="center"/>
        <w:rPr>
          <w:rFonts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下属</w:t>
      </w:r>
      <w:r>
        <w:rPr>
          <w:rFonts w:hint="eastAsia" w:ascii="仿宋" w:hAnsi="仿宋" w:eastAsia="仿宋" w:cs="仿宋"/>
          <w:b/>
          <w:bCs/>
          <w:sz w:val="32"/>
          <w:szCs w:val="32"/>
          <w:highlight w:val="none"/>
          <w:lang w:val="en-US" w:eastAsia="zh-CN"/>
        </w:rPr>
        <w:t>水质净化厂进出水</w:t>
      </w:r>
      <w:r>
        <w:rPr>
          <w:rFonts w:hint="eastAsia" w:ascii="仿宋" w:hAnsi="仿宋" w:eastAsia="仿宋" w:cs="仿宋"/>
          <w:b/>
          <w:bCs/>
          <w:sz w:val="32"/>
          <w:szCs w:val="32"/>
          <w:highlight w:val="none"/>
          <w:lang w:val="zh-CN"/>
        </w:rPr>
        <w:t>在线仪表运维合同</w:t>
      </w:r>
    </w:p>
    <w:p w14:paraId="24D01218">
      <w:pPr>
        <w:autoSpaceDE w:val="0"/>
        <w:autoSpaceDN w:val="0"/>
        <w:adjustRightInd w:val="0"/>
        <w:spacing w:before="156" w:beforeLines="50" w:line="480" w:lineRule="exact"/>
        <w:jc w:val="center"/>
        <w:rPr>
          <w:rFonts w:ascii="仿宋" w:hAnsi="仿宋" w:eastAsia="仿宋" w:cs="仿宋"/>
          <w:sz w:val="28"/>
          <w:szCs w:val="28"/>
          <w:highlight w:val="none"/>
          <w:lang w:val="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合同编号：</w:t>
      </w:r>
    </w:p>
    <w:p w14:paraId="18F2695E">
      <w:pPr>
        <w:autoSpaceDE w:val="0"/>
        <w:autoSpaceDN w:val="0"/>
        <w:adjustRightInd w:val="0"/>
        <w:spacing w:before="156" w:beforeLines="50" w:line="480" w:lineRule="exac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甲方：</w:t>
      </w:r>
      <w:r>
        <w:rPr>
          <w:rFonts w:hint="eastAsia" w:ascii="仿宋" w:hAnsi="仿宋" w:eastAsia="仿宋" w:cs="仿宋"/>
          <w:sz w:val="28"/>
          <w:szCs w:val="28"/>
          <w:highlight w:val="none"/>
          <w:u w:val="single"/>
          <w:lang w:val="zh-CN"/>
        </w:rPr>
        <w:t xml:space="preserve">长沙市排水有限责任公司 </w:t>
      </w:r>
      <w:r>
        <w:rPr>
          <w:rFonts w:hint="eastAsia" w:ascii="仿宋" w:hAnsi="仿宋" w:eastAsia="仿宋" w:cs="仿宋"/>
          <w:sz w:val="28"/>
          <w:szCs w:val="28"/>
          <w:highlight w:val="none"/>
          <w:lang w:val="zh-CN"/>
        </w:rPr>
        <w:t xml:space="preserve">     </w:t>
      </w:r>
    </w:p>
    <w:p w14:paraId="05FF90C0">
      <w:pPr>
        <w:autoSpaceDE w:val="0"/>
        <w:autoSpaceDN w:val="0"/>
        <w:adjustRightInd w:val="0"/>
        <w:spacing w:before="156" w:beforeLines="50" w:line="480" w:lineRule="exact"/>
        <w:rPr>
          <w:rFonts w:hint="eastAsia" w:ascii="仿宋" w:hAnsi="仿宋" w:eastAsia="仿宋" w:cs="仿宋"/>
          <w:sz w:val="28"/>
          <w:szCs w:val="28"/>
          <w:highlight w:val="none"/>
          <w:u w:val="single"/>
          <w:lang w:val="zh-CN"/>
        </w:rPr>
      </w:pPr>
      <w:r>
        <w:rPr>
          <w:rFonts w:hint="eastAsia" w:ascii="仿宋" w:hAnsi="仿宋" w:eastAsia="仿宋" w:cs="仿宋"/>
          <w:sz w:val="28"/>
          <w:szCs w:val="28"/>
          <w:highlight w:val="none"/>
          <w:lang w:val="zh-CN"/>
        </w:rPr>
        <w:t xml:space="preserve">乙方：    </w:t>
      </w:r>
    </w:p>
    <w:p w14:paraId="69460F27">
      <w:pPr>
        <w:spacing w:before="156" w:beforeLines="50" w:line="480" w:lineRule="exact"/>
        <w:ind w:firstLine="560" w:firstLineChars="200"/>
        <w:rPr>
          <w:rFonts w:ascii="仿宋" w:hAnsi="仿宋" w:eastAsia="仿宋" w:cs="仿宋"/>
          <w:sz w:val="28"/>
          <w:szCs w:val="28"/>
          <w:highlight w:val="none"/>
          <w:lang w:val="zh-CN"/>
        </w:rPr>
      </w:pPr>
      <w:r>
        <w:rPr>
          <w:rFonts w:ascii="仿宋" w:hAnsi="仿宋" w:eastAsia="仿宋" w:cs="仿宋"/>
          <w:sz w:val="28"/>
          <w:szCs w:val="28"/>
          <w:highlight w:val="none"/>
          <w:lang w:val="zh-CN"/>
        </w:rPr>
        <w:t>为加强对污染源自动监控系统现场端的监管，提高环境管理科学化、信息化水平，增加应对突发环境事件应急处置能力，根据</w:t>
      </w:r>
      <w:r>
        <w:rPr>
          <w:rFonts w:hint="eastAsia" w:ascii="仿宋" w:hAnsi="仿宋" w:eastAsia="仿宋" w:cs="仿宋"/>
          <w:sz w:val="28"/>
          <w:szCs w:val="28"/>
          <w:highlight w:val="none"/>
          <w:lang w:val="zh-CN" w:eastAsia="zh-CN"/>
        </w:rPr>
        <w:t>《中华人民共和国民法典》</w:t>
      </w:r>
      <w:r>
        <w:rPr>
          <w:rFonts w:ascii="仿宋" w:hAnsi="仿宋" w:eastAsia="仿宋" w:cs="仿宋"/>
          <w:sz w:val="28"/>
          <w:szCs w:val="28"/>
          <w:highlight w:val="none"/>
          <w:lang w:val="zh-CN"/>
        </w:rPr>
        <w:t>、《中华人民共和国水污染防治法》、《污染源自动监控设施运行管理办法》（环发（2008）6号）、《湖南省污染源自动监控管理办法》（湖南省人民政府第203号令）等法规和技术规范，经甲、乙双方友好协商，一致同意以下条款：</w:t>
      </w:r>
    </w:p>
    <w:p w14:paraId="0A29AADF">
      <w:pPr>
        <w:spacing w:line="480" w:lineRule="exact"/>
        <w:rPr>
          <w:rFonts w:ascii="仿宋" w:hAnsi="仿宋" w:eastAsia="仿宋" w:cs="仿宋"/>
          <w:sz w:val="28"/>
          <w:szCs w:val="28"/>
          <w:highlight w:val="none"/>
          <w:lang w:val="zh-CN"/>
        </w:rPr>
      </w:pPr>
      <w:r>
        <w:rPr>
          <w:rFonts w:ascii="仿宋" w:hAnsi="仿宋" w:eastAsia="仿宋" w:cs="仿宋"/>
          <w:sz w:val="28"/>
          <w:szCs w:val="28"/>
          <w:highlight w:val="none"/>
          <w:lang w:val="zh-CN"/>
        </w:rPr>
        <w:t>一、委托</w:t>
      </w:r>
      <w:r>
        <w:rPr>
          <w:rFonts w:hint="eastAsia" w:ascii="仿宋" w:hAnsi="仿宋" w:eastAsia="仿宋" w:cs="仿宋"/>
          <w:sz w:val="28"/>
          <w:szCs w:val="28"/>
          <w:highlight w:val="none"/>
          <w:lang w:val="zh-CN"/>
        </w:rPr>
        <w:t>运维</w:t>
      </w:r>
      <w:r>
        <w:rPr>
          <w:rFonts w:ascii="仿宋" w:hAnsi="仿宋" w:eastAsia="仿宋" w:cs="仿宋"/>
          <w:sz w:val="28"/>
          <w:szCs w:val="28"/>
          <w:highlight w:val="none"/>
          <w:lang w:val="zh-CN"/>
        </w:rPr>
        <w:t>对象及</w:t>
      </w:r>
      <w:r>
        <w:rPr>
          <w:rFonts w:hint="eastAsia" w:ascii="仿宋" w:hAnsi="仿宋" w:eastAsia="仿宋" w:cs="仿宋"/>
          <w:sz w:val="28"/>
          <w:szCs w:val="28"/>
          <w:highlight w:val="none"/>
          <w:lang w:val="zh-CN"/>
        </w:rPr>
        <w:t>价款</w:t>
      </w:r>
    </w:p>
    <w:p w14:paraId="0EDD3E70">
      <w:pPr>
        <w:spacing w:line="480" w:lineRule="exact"/>
        <w:ind w:firstLine="618" w:firstLineChars="221"/>
        <w:rPr>
          <w:rFonts w:ascii="仿宋" w:hAnsi="仿宋" w:eastAsia="仿宋" w:cs="仿宋"/>
          <w:sz w:val="28"/>
          <w:szCs w:val="28"/>
          <w:highlight w:val="none"/>
          <w:lang w:val="zh-CN"/>
        </w:rPr>
      </w:pPr>
      <w:r>
        <w:rPr>
          <w:rFonts w:ascii="仿宋" w:hAnsi="仿宋" w:eastAsia="仿宋" w:cs="仿宋"/>
          <w:sz w:val="28"/>
          <w:szCs w:val="28"/>
          <w:highlight w:val="none"/>
          <w:lang w:val="zh-CN"/>
        </w:rPr>
        <w:t>甲方委托乙方</w:t>
      </w:r>
      <w:r>
        <w:rPr>
          <w:rFonts w:hint="eastAsia" w:ascii="仿宋" w:hAnsi="仿宋" w:eastAsia="仿宋" w:cs="仿宋"/>
          <w:sz w:val="28"/>
          <w:szCs w:val="28"/>
          <w:highlight w:val="none"/>
          <w:lang w:val="zh-CN"/>
        </w:rPr>
        <w:t>运维</w:t>
      </w:r>
      <w:r>
        <w:rPr>
          <w:rFonts w:ascii="仿宋" w:hAnsi="仿宋" w:eastAsia="仿宋" w:cs="仿宋"/>
          <w:sz w:val="28"/>
          <w:szCs w:val="28"/>
          <w:highlight w:val="none"/>
          <w:lang w:val="zh-CN"/>
        </w:rPr>
        <w:t>以下自动监控系统现场端设施</w:t>
      </w:r>
      <w:r>
        <w:rPr>
          <w:rFonts w:hint="eastAsia" w:ascii="仿宋" w:hAnsi="仿宋" w:eastAsia="仿宋" w:cs="仿宋"/>
          <w:sz w:val="28"/>
          <w:szCs w:val="28"/>
          <w:highlight w:val="none"/>
          <w:lang w:val="zh-CN"/>
        </w:rPr>
        <w:t>（包含进出水口流量计数据维护上传，数采仪维护）：</w:t>
      </w:r>
    </w:p>
    <w:p w14:paraId="4FEC0909">
      <w:pPr>
        <w:spacing w:line="480" w:lineRule="exact"/>
        <w:ind w:firstLine="1540" w:firstLineChars="55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水质净化厂进出口</w:t>
      </w:r>
      <w:r>
        <w:rPr>
          <w:rFonts w:ascii="仿宋" w:hAnsi="仿宋" w:eastAsia="仿宋" w:cs="仿宋"/>
          <w:sz w:val="28"/>
          <w:szCs w:val="28"/>
          <w:highlight w:val="none"/>
          <w:lang w:val="zh-CN"/>
        </w:rPr>
        <w:t>在线监控设施   金额单位：人民币元</w:t>
      </w:r>
    </w:p>
    <w:tbl>
      <w:tblPr>
        <w:tblStyle w:val="44"/>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960"/>
        <w:gridCol w:w="1380"/>
        <w:gridCol w:w="2340"/>
        <w:gridCol w:w="1515"/>
        <w:gridCol w:w="1048"/>
        <w:gridCol w:w="1067"/>
      </w:tblGrid>
      <w:tr w14:paraId="1CD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20" w:type="dxa"/>
            <w:noWrap w:val="0"/>
            <w:vAlign w:val="center"/>
          </w:tcPr>
          <w:p w14:paraId="744E2E18">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default" w:ascii="仿宋" w:hAnsi="仿宋" w:eastAsia="仿宋" w:cs="仿宋"/>
                <w:sz w:val="28"/>
                <w:szCs w:val="28"/>
                <w:highlight w:val="none"/>
                <w:lang w:val="zh-CN"/>
              </w:rPr>
              <w:t>序</w:t>
            </w:r>
          </w:p>
          <w:p w14:paraId="23CDEDC4">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default" w:ascii="仿宋" w:hAnsi="仿宋" w:eastAsia="仿宋" w:cs="仿宋"/>
                <w:sz w:val="28"/>
                <w:szCs w:val="28"/>
                <w:highlight w:val="none"/>
                <w:lang w:val="zh-CN"/>
              </w:rPr>
              <w:t>号</w:t>
            </w:r>
          </w:p>
        </w:tc>
        <w:tc>
          <w:tcPr>
            <w:tcW w:w="960" w:type="dxa"/>
            <w:noWrap w:val="0"/>
            <w:vAlign w:val="center"/>
          </w:tcPr>
          <w:p w14:paraId="7E309B01">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default" w:ascii="仿宋" w:hAnsi="仿宋" w:eastAsia="仿宋" w:cs="仿宋"/>
                <w:sz w:val="28"/>
                <w:szCs w:val="28"/>
                <w:highlight w:val="none"/>
                <w:lang w:val="zh-CN"/>
              </w:rPr>
              <w:t>监控</w:t>
            </w:r>
          </w:p>
          <w:p w14:paraId="1F7E99D9">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default" w:ascii="仿宋" w:hAnsi="仿宋" w:eastAsia="仿宋" w:cs="仿宋"/>
                <w:sz w:val="28"/>
                <w:szCs w:val="28"/>
                <w:highlight w:val="none"/>
                <w:lang w:val="zh-CN"/>
              </w:rPr>
              <w:t>类别</w:t>
            </w:r>
          </w:p>
        </w:tc>
        <w:tc>
          <w:tcPr>
            <w:tcW w:w="1380" w:type="dxa"/>
            <w:noWrap w:val="0"/>
            <w:vAlign w:val="center"/>
          </w:tcPr>
          <w:p w14:paraId="7C686313">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default" w:ascii="仿宋" w:hAnsi="仿宋" w:eastAsia="仿宋" w:cs="仿宋"/>
                <w:sz w:val="28"/>
                <w:szCs w:val="28"/>
                <w:highlight w:val="none"/>
                <w:lang w:val="zh-CN"/>
              </w:rPr>
              <w:t>监控点位名称</w:t>
            </w:r>
          </w:p>
        </w:tc>
        <w:tc>
          <w:tcPr>
            <w:tcW w:w="2340" w:type="dxa"/>
            <w:noWrap w:val="0"/>
            <w:vAlign w:val="center"/>
          </w:tcPr>
          <w:p w14:paraId="749235C4">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zh-CN"/>
              </w:rPr>
              <w:t>运维</w:t>
            </w:r>
            <w:r>
              <w:rPr>
                <w:rFonts w:hint="default" w:ascii="仿宋" w:hAnsi="仿宋" w:eastAsia="仿宋" w:cs="仿宋"/>
                <w:sz w:val="28"/>
                <w:szCs w:val="28"/>
                <w:highlight w:val="none"/>
                <w:lang w:val="zh-CN"/>
              </w:rPr>
              <w:t>监控因子</w:t>
            </w:r>
          </w:p>
        </w:tc>
        <w:tc>
          <w:tcPr>
            <w:tcW w:w="1515" w:type="dxa"/>
            <w:noWrap w:val="0"/>
            <w:vAlign w:val="center"/>
          </w:tcPr>
          <w:p w14:paraId="1DC6C29C">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zh-CN"/>
              </w:rPr>
              <w:t>运维</w:t>
            </w:r>
            <w:r>
              <w:rPr>
                <w:rFonts w:hint="default" w:ascii="仿宋" w:hAnsi="仿宋" w:eastAsia="仿宋" w:cs="仿宋"/>
                <w:sz w:val="28"/>
                <w:szCs w:val="28"/>
                <w:highlight w:val="none"/>
                <w:lang w:val="zh-CN"/>
              </w:rPr>
              <w:t>单价</w:t>
            </w:r>
          </w:p>
          <w:p w14:paraId="09CE2D00">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default" w:ascii="仿宋" w:hAnsi="仿宋" w:eastAsia="仿宋" w:cs="仿宋"/>
                <w:sz w:val="28"/>
                <w:szCs w:val="28"/>
                <w:highlight w:val="none"/>
                <w:lang w:val="zh-CN"/>
              </w:rPr>
              <w:t>（元/</w:t>
            </w:r>
            <w:r>
              <w:rPr>
                <w:rFonts w:hint="eastAsia" w:ascii="仿宋" w:hAnsi="仿宋" w:eastAsia="仿宋" w:cs="仿宋"/>
                <w:sz w:val="28"/>
                <w:szCs w:val="28"/>
                <w:highlight w:val="none"/>
                <w:lang w:val="zh-CN"/>
              </w:rPr>
              <w:t>月</w:t>
            </w:r>
            <w:r>
              <w:rPr>
                <w:rFonts w:hint="default" w:ascii="仿宋" w:hAnsi="仿宋" w:eastAsia="仿宋" w:cs="仿宋"/>
                <w:sz w:val="28"/>
                <w:szCs w:val="28"/>
                <w:highlight w:val="none"/>
                <w:lang w:val="zh-CN"/>
              </w:rPr>
              <w:t>）</w:t>
            </w:r>
          </w:p>
        </w:tc>
        <w:tc>
          <w:tcPr>
            <w:tcW w:w="1048" w:type="dxa"/>
            <w:noWrap w:val="0"/>
            <w:vAlign w:val="center"/>
          </w:tcPr>
          <w:p w14:paraId="0E23A1B5">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zh-CN"/>
              </w:rPr>
              <w:t>时间（月）</w:t>
            </w:r>
          </w:p>
        </w:tc>
        <w:tc>
          <w:tcPr>
            <w:tcW w:w="1067" w:type="dxa"/>
            <w:noWrap w:val="0"/>
            <w:vAlign w:val="center"/>
          </w:tcPr>
          <w:p w14:paraId="1FAA2C2B">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zh-CN"/>
              </w:rPr>
              <w:t>总价（元）</w:t>
            </w:r>
          </w:p>
        </w:tc>
      </w:tr>
      <w:tr w14:paraId="6AF8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520" w:type="dxa"/>
            <w:noWrap w:val="0"/>
            <w:vAlign w:val="center"/>
          </w:tcPr>
          <w:p w14:paraId="1139FFEC">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zh-CN"/>
              </w:rPr>
              <w:t>1</w:t>
            </w:r>
          </w:p>
        </w:tc>
        <w:tc>
          <w:tcPr>
            <w:tcW w:w="960" w:type="dxa"/>
            <w:noWrap w:val="0"/>
            <w:vAlign w:val="center"/>
          </w:tcPr>
          <w:p w14:paraId="37F7C26C">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zh-CN"/>
              </w:rPr>
              <w:t>污染源</w:t>
            </w:r>
          </w:p>
        </w:tc>
        <w:tc>
          <w:tcPr>
            <w:tcW w:w="1380" w:type="dxa"/>
            <w:noWrap w:val="0"/>
            <w:vAlign w:val="center"/>
          </w:tcPr>
          <w:p w14:paraId="7E6878B9">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zh-CN"/>
              </w:rPr>
              <w:t>花桥水质净化厂进出水</w:t>
            </w:r>
            <w:r>
              <w:rPr>
                <w:rFonts w:hint="eastAsia" w:ascii="仿宋" w:hAnsi="仿宋" w:eastAsia="仿宋" w:cs="仿宋"/>
                <w:sz w:val="28"/>
                <w:szCs w:val="28"/>
                <w:highlight w:val="none"/>
                <w:lang w:val="en-US" w:eastAsia="zh-CN"/>
              </w:rPr>
              <w:t>/花桥（三期）</w:t>
            </w:r>
          </w:p>
        </w:tc>
        <w:tc>
          <w:tcPr>
            <w:tcW w:w="2340" w:type="dxa"/>
            <w:noWrap w:val="0"/>
            <w:vAlign w:val="center"/>
          </w:tcPr>
          <w:p w14:paraId="46FE8174">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进水：C</w:t>
            </w:r>
            <w:r>
              <w:rPr>
                <w:rFonts w:hint="default" w:ascii="仿宋" w:hAnsi="仿宋" w:eastAsia="仿宋" w:cs="仿宋"/>
                <w:sz w:val="28"/>
                <w:szCs w:val="28"/>
                <w:highlight w:val="none"/>
                <w:lang w:val="zh-CN"/>
              </w:rPr>
              <w:t>OD</w:t>
            </w:r>
            <w:r>
              <w:rPr>
                <w:rFonts w:hint="eastAsia" w:ascii="仿宋" w:hAnsi="仿宋" w:eastAsia="仿宋" w:cs="仿宋"/>
                <w:sz w:val="28"/>
                <w:szCs w:val="28"/>
                <w:highlight w:val="none"/>
                <w:lang w:val="zh-CN"/>
              </w:rPr>
              <w:t>、氨氮、</w:t>
            </w:r>
            <w:r>
              <w:rPr>
                <w:rFonts w:hint="eastAsia" w:ascii="仿宋" w:hAnsi="仿宋" w:eastAsia="仿宋" w:cs="仿宋"/>
                <w:sz w:val="28"/>
                <w:szCs w:val="28"/>
                <w:highlight w:val="none"/>
                <w:lang w:val="en-US" w:eastAsia="zh-CN"/>
              </w:rPr>
              <w:t>总磷、总氮</w:t>
            </w:r>
          </w:p>
          <w:p w14:paraId="7E958EC0">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出水：COD、氨氮、总磷、总氮、PH</w:t>
            </w:r>
          </w:p>
          <w:p w14:paraId="1C7CF61B">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花桥（三期）出水：COD、氨氮、总磷、总氮、PH</w:t>
            </w:r>
          </w:p>
        </w:tc>
        <w:tc>
          <w:tcPr>
            <w:tcW w:w="1515" w:type="dxa"/>
            <w:noWrap w:val="0"/>
            <w:vAlign w:val="center"/>
          </w:tcPr>
          <w:p w14:paraId="4EEC884B">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color w:val="auto"/>
                <w:sz w:val="28"/>
                <w:szCs w:val="28"/>
                <w:highlight w:val="none"/>
                <w:lang w:val="en-US" w:eastAsia="zh-CN"/>
              </w:rPr>
            </w:pPr>
          </w:p>
        </w:tc>
        <w:tc>
          <w:tcPr>
            <w:tcW w:w="1048" w:type="dxa"/>
            <w:noWrap w:val="0"/>
            <w:vAlign w:val="center"/>
          </w:tcPr>
          <w:p w14:paraId="733E11C6">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个月</w:t>
            </w:r>
          </w:p>
        </w:tc>
        <w:tc>
          <w:tcPr>
            <w:tcW w:w="1067" w:type="dxa"/>
            <w:noWrap w:val="0"/>
            <w:vAlign w:val="center"/>
          </w:tcPr>
          <w:p w14:paraId="3C3D5003">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color w:val="auto"/>
                <w:sz w:val="28"/>
                <w:szCs w:val="28"/>
                <w:highlight w:val="none"/>
                <w:lang w:val="en-US" w:eastAsia="zh-CN"/>
              </w:rPr>
            </w:pPr>
          </w:p>
        </w:tc>
      </w:tr>
      <w:tr w14:paraId="5B21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0" w:type="dxa"/>
            <w:noWrap w:val="0"/>
            <w:vAlign w:val="center"/>
          </w:tcPr>
          <w:p w14:paraId="0E2C580A">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2</w:t>
            </w:r>
          </w:p>
        </w:tc>
        <w:tc>
          <w:tcPr>
            <w:tcW w:w="960" w:type="dxa"/>
            <w:noWrap w:val="0"/>
            <w:vAlign w:val="center"/>
          </w:tcPr>
          <w:p w14:paraId="239E14B8">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zh-CN"/>
              </w:rPr>
              <w:t>污染源</w:t>
            </w:r>
          </w:p>
        </w:tc>
        <w:tc>
          <w:tcPr>
            <w:tcW w:w="1380" w:type="dxa"/>
            <w:noWrap w:val="0"/>
            <w:vAlign w:val="center"/>
          </w:tcPr>
          <w:p w14:paraId="7EF5A737">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长善垸</w:t>
            </w:r>
            <w:r>
              <w:rPr>
                <w:rFonts w:hint="eastAsia" w:ascii="仿宋" w:hAnsi="仿宋" w:eastAsia="仿宋" w:cs="仿宋"/>
                <w:sz w:val="28"/>
                <w:szCs w:val="28"/>
                <w:highlight w:val="none"/>
                <w:lang w:val="zh-CN"/>
              </w:rPr>
              <w:t>水质净化厂进出水</w:t>
            </w:r>
          </w:p>
        </w:tc>
        <w:tc>
          <w:tcPr>
            <w:tcW w:w="2340" w:type="dxa"/>
            <w:noWrap w:val="0"/>
            <w:vAlign w:val="center"/>
          </w:tcPr>
          <w:p w14:paraId="29DFA514">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进水：C</w:t>
            </w:r>
            <w:r>
              <w:rPr>
                <w:rFonts w:hint="default" w:ascii="仿宋" w:hAnsi="仿宋" w:eastAsia="仿宋" w:cs="仿宋"/>
                <w:sz w:val="28"/>
                <w:szCs w:val="28"/>
                <w:highlight w:val="none"/>
                <w:lang w:val="zh-CN"/>
              </w:rPr>
              <w:t>OD</w:t>
            </w:r>
            <w:r>
              <w:rPr>
                <w:rFonts w:hint="eastAsia" w:ascii="仿宋" w:hAnsi="仿宋" w:eastAsia="仿宋" w:cs="仿宋"/>
                <w:sz w:val="28"/>
                <w:szCs w:val="28"/>
                <w:highlight w:val="none"/>
                <w:lang w:val="zh-CN"/>
              </w:rPr>
              <w:t>、氨氮、</w:t>
            </w:r>
            <w:r>
              <w:rPr>
                <w:rFonts w:hint="eastAsia" w:ascii="仿宋" w:hAnsi="仿宋" w:eastAsia="仿宋" w:cs="仿宋"/>
                <w:sz w:val="28"/>
                <w:szCs w:val="28"/>
                <w:highlight w:val="none"/>
                <w:lang w:val="en-US" w:eastAsia="zh-CN"/>
              </w:rPr>
              <w:t>总磷、总氮</w:t>
            </w:r>
          </w:p>
          <w:p w14:paraId="5B483838">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出水：COD、氨氮、总磷、总氮、PH</w:t>
            </w:r>
          </w:p>
        </w:tc>
        <w:tc>
          <w:tcPr>
            <w:tcW w:w="1515" w:type="dxa"/>
            <w:noWrap w:val="0"/>
            <w:vAlign w:val="center"/>
          </w:tcPr>
          <w:p w14:paraId="697EC58D">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color w:val="auto"/>
                <w:sz w:val="28"/>
                <w:szCs w:val="28"/>
                <w:highlight w:val="none"/>
                <w:lang w:val="en-US" w:eastAsia="zh-CN"/>
              </w:rPr>
            </w:pPr>
          </w:p>
        </w:tc>
        <w:tc>
          <w:tcPr>
            <w:tcW w:w="1048" w:type="dxa"/>
            <w:noWrap w:val="0"/>
            <w:vAlign w:val="center"/>
          </w:tcPr>
          <w:p w14:paraId="021DF822">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个月</w:t>
            </w:r>
          </w:p>
        </w:tc>
        <w:tc>
          <w:tcPr>
            <w:tcW w:w="1067" w:type="dxa"/>
            <w:noWrap w:val="0"/>
            <w:vAlign w:val="center"/>
          </w:tcPr>
          <w:p w14:paraId="11E4D927">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color w:val="auto"/>
                <w:sz w:val="28"/>
                <w:szCs w:val="28"/>
                <w:highlight w:val="none"/>
                <w:lang w:val="en-US" w:eastAsia="zh-CN"/>
              </w:rPr>
            </w:pPr>
          </w:p>
        </w:tc>
      </w:tr>
      <w:tr w14:paraId="3D6C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20" w:type="dxa"/>
            <w:noWrap w:val="0"/>
            <w:vAlign w:val="center"/>
          </w:tcPr>
          <w:p w14:paraId="50BF277D">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3</w:t>
            </w:r>
          </w:p>
        </w:tc>
        <w:tc>
          <w:tcPr>
            <w:tcW w:w="960" w:type="dxa"/>
            <w:noWrap w:val="0"/>
            <w:vAlign w:val="center"/>
          </w:tcPr>
          <w:p w14:paraId="42C59900">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zh-CN"/>
              </w:rPr>
              <w:t>污染源</w:t>
            </w:r>
          </w:p>
        </w:tc>
        <w:tc>
          <w:tcPr>
            <w:tcW w:w="1380" w:type="dxa"/>
            <w:noWrap w:val="0"/>
            <w:vAlign w:val="center"/>
          </w:tcPr>
          <w:p w14:paraId="503D12F0">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新开铺</w:t>
            </w:r>
            <w:r>
              <w:rPr>
                <w:rFonts w:hint="eastAsia" w:ascii="仿宋" w:hAnsi="仿宋" w:eastAsia="仿宋" w:cs="仿宋"/>
                <w:sz w:val="28"/>
                <w:szCs w:val="28"/>
                <w:highlight w:val="none"/>
                <w:lang w:val="zh-CN"/>
              </w:rPr>
              <w:t>水质净化厂进出水</w:t>
            </w:r>
          </w:p>
        </w:tc>
        <w:tc>
          <w:tcPr>
            <w:tcW w:w="2340" w:type="dxa"/>
            <w:noWrap w:val="0"/>
            <w:vAlign w:val="center"/>
          </w:tcPr>
          <w:p w14:paraId="074514BE">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进水：C</w:t>
            </w:r>
            <w:r>
              <w:rPr>
                <w:rFonts w:hint="default" w:ascii="仿宋" w:hAnsi="仿宋" w:eastAsia="仿宋" w:cs="仿宋"/>
                <w:sz w:val="28"/>
                <w:szCs w:val="28"/>
                <w:highlight w:val="none"/>
                <w:lang w:val="zh-CN"/>
              </w:rPr>
              <w:t>OD</w:t>
            </w:r>
            <w:r>
              <w:rPr>
                <w:rFonts w:hint="eastAsia" w:ascii="仿宋" w:hAnsi="仿宋" w:eastAsia="仿宋" w:cs="仿宋"/>
                <w:sz w:val="28"/>
                <w:szCs w:val="28"/>
                <w:highlight w:val="none"/>
                <w:lang w:val="zh-CN"/>
              </w:rPr>
              <w:t>、氨氮、</w:t>
            </w:r>
            <w:r>
              <w:rPr>
                <w:rFonts w:hint="eastAsia" w:ascii="仿宋" w:hAnsi="仿宋" w:eastAsia="仿宋" w:cs="仿宋"/>
                <w:sz w:val="28"/>
                <w:szCs w:val="28"/>
                <w:highlight w:val="none"/>
                <w:lang w:val="en-US" w:eastAsia="zh-CN"/>
              </w:rPr>
              <w:t>总磷、总氮</w:t>
            </w:r>
          </w:p>
          <w:p w14:paraId="25281B28">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sz w:val="28"/>
                <w:szCs w:val="28"/>
                <w:highlight w:val="none"/>
                <w:lang w:val="zh-CN"/>
              </w:rPr>
            </w:pPr>
            <w:r>
              <w:rPr>
                <w:rFonts w:hint="eastAsia" w:ascii="仿宋" w:hAnsi="仿宋" w:eastAsia="仿宋" w:cs="仿宋"/>
                <w:sz w:val="28"/>
                <w:szCs w:val="28"/>
                <w:highlight w:val="none"/>
                <w:lang w:val="zh-CN"/>
              </w:rPr>
              <w:t>出水：COD、氨氮、总磷、总氮、PH</w:t>
            </w:r>
          </w:p>
        </w:tc>
        <w:tc>
          <w:tcPr>
            <w:tcW w:w="1515" w:type="dxa"/>
            <w:noWrap w:val="0"/>
            <w:vAlign w:val="center"/>
          </w:tcPr>
          <w:p w14:paraId="47D176BD">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color w:val="auto"/>
                <w:sz w:val="28"/>
                <w:szCs w:val="28"/>
                <w:highlight w:val="none"/>
                <w:lang w:val="en-US"/>
              </w:rPr>
            </w:pPr>
          </w:p>
        </w:tc>
        <w:tc>
          <w:tcPr>
            <w:tcW w:w="1048" w:type="dxa"/>
            <w:noWrap w:val="0"/>
            <w:vAlign w:val="center"/>
          </w:tcPr>
          <w:p w14:paraId="193B20CE">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个月</w:t>
            </w:r>
          </w:p>
        </w:tc>
        <w:tc>
          <w:tcPr>
            <w:tcW w:w="1067" w:type="dxa"/>
            <w:noWrap w:val="0"/>
            <w:vAlign w:val="center"/>
          </w:tcPr>
          <w:p w14:paraId="295660CA">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color w:val="auto"/>
                <w:sz w:val="28"/>
                <w:szCs w:val="28"/>
                <w:highlight w:val="none"/>
                <w:lang w:val="en-US" w:eastAsia="zh-CN"/>
              </w:rPr>
            </w:pPr>
          </w:p>
        </w:tc>
      </w:tr>
      <w:tr w14:paraId="26D8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0" w:type="dxa"/>
            <w:noWrap w:val="0"/>
            <w:vAlign w:val="center"/>
          </w:tcPr>
          <w:p w14:paraId="03E9B485">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960" w:type="dxa"/>
            <w:noWrap w:val="0"/>
            <w:vAlign w:val="center"/>
          </w:tcPr>
          <w:p w14:paraId="50C5E05F">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污染源</w:t>
            </w:r>
          </w:p>
        </w:tc>
        <w:tc>
          <w:tcPr>
            <w:tcW w:w="1380" w:type="dxa"/>
            <w:noWrap w:val="0"/>
            <w:vAlign w:val="center"/>
          </w:tcPr>
          <w:p w14:paraId="1EBCCD20">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暮云</w:t>
            </w:r>
            <w:r>
              <w:rPr>
                <w:rFonts w:hint="eastAsia" w:ascii="仿宋" w:hAnsi="仿宋" w:eastAsia="仿宋" w:cs="仿宋"/>
                <w:sz w:val="28"/>
                <w:szCs w:val="28"/>
                <w:highlight w:val="none"/>
                <w:lang w:val="zh-CN"/>
              </w:rPr>
              <w:t>水质净化厂进出水</w:t>
            </w:r>
          </w:p>
        </w:tc>
        <w:tc>
          <w:tcPr>
            <w:tcW w:w="2340" w:type="dxa"/>
            <w:noWrap w:val="0"/>
            <w:vAlign w:val="center"/>
          </w:tcPr>
          <w:p w14:paraId="174D2973">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进水：C</w:t>
            </w:r>
            <w:r>
              <w:rPr>
                <w:rFonts w:hint="default" w:ascii="仿宋" w:hAnsi="仿宋" w:eastAsia="仿宋" w:cs="仿宋"/>
                <w:sz w:val="28"/>
                <w:szCs w:val="28"/>
                <w:highlight w:val="none"/>
                <w:lang w:val="zh-CN"/>
              </w:rPr>
              <w:t>OD</w:t>
            </w:r>
            <w:r>
              <w:rPr>
                <w:rFonts w:hint="eastAsia" w:ascii="仿宋" w:hAnsi="仿宋" w:eastAsia="仿宋" w:cs="仿宋"/>
                <w:sz w:val="28"/>
                <w:szCs w:val="28"/>
                <w:highlight w:val="none"/>
                <w:lang w:val="zh-CN"/>
              </w:rPr>
              <w:t>、氨氮、</w:t>
            </w:r>
            <w:r>
              <w:rPr>
                <w:rFonts w:hint="eastAsia" w:ascii="仿宋" w:hAnsi="仿宋" w:eastAsia="仿宋" w:cs="仿宋"/>
                <w:sz w:val="28"/>
                <w:szCs w:val="28"/>
                <w:highlight w:val="none"/>
                <w:lang w:val="en-US" w:eastAsia="zh-CN"/>
              </w:rPr>
              <w:t>总磷、总氮</w:t>
            </w:r>
          </w:p>
          <w:p w14:paraId="024DDB81">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出水：COD、氨氮、总磷、总氮、PH</w:t>
            </w:r>
          </w:p>
        </w:tc>
        <w:tc>
          <w:tcPr>
            <w:tcW w:w="1515" w:type="dxa"/>
            <w:noWrap w:val="0"/>
            <w:vAlign w:val="center"/>
          </w:tcPr>
          <w:p w14:paraId="60E4DFFB">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color w:val="auto"/>
                <w:sz w:val="28"/>
                <w:szCs w:val="28"/>
                <w:highlight w:val="none"/>
                <w:lang w:val="en-US" w:eastAsia="zh-CN"/>
              </w:rPr>
            </w:pPr>
          </w:p>
        </w:tc>
        <w:tc>
          <w:tcPr>
            <w:tcW w:w="1048" w:type="dxa"/>
            <w:noWrap w:val="0"/>
            <w:vAlign w:val="center"/>
          </w:tcPr>
          <w:p w14:paraId="19B9FA94">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个月</w:t>
            </w:r>
          </w:p>
        </w:tc>
        <w:tc>
          <w:tcPr>
            <w:tcW w:w="1067" w:type="dxa"/>
            <w:noWrap w:val="0"/>
            <w:vAlign w:val="center"/>
          </w:tcPr>
          <w:p w14:paraId="63381E16">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default" w:ascii="仿宋" w:hAnsi="仿宋" w:eastAsia="仿宋" w:cs="仿宋"/>
                <w:color w:val="auto"/>
                <w:sz w:val="28"/>
                <w:szCs w:val="28"/>
                <w:highlight w:val="none"/>
                <w:lang w:val="en-US" w:eastAsia="zh-CN"/>
              </w:rPr>
            </w:pPr>
          </w:p>
        </w:tc>
      </w:tr>
      <w:tr w14:paraId="0062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20" w:type="dxa"/>
            <w:noWrap w:val="0"/>
            <w:vAlign w:val="center"/>
          </w:tcPr>
          <w:p w14:paraId="13BC810D">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960" w:type="dxa"/>
            <w:noWrap w:val="0"/>
            <w:vAlign w:val="center"/>
          </w:tcPr>
          <w:p w14:paraId="7E286A88">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污染源</w:t>
            </w:r>
          </w:p>
        </w:tc>
        <w:tc>
          <w:tcPr>
            <w:tcW w:w="1380" w:type="dxa"/>
            <w:noWrap w:val="0"/>
            <w:vAlign w:val="center"/>
          </w:tcPr>
          <w:p w14:paraId="3FBFDF5C">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雨花</w:t>
            </w:r>
            <w:r>
              <w:rPr>
                <w:rFonts w:hint="eastAsia" w:ascii="仿宋" w:hAnsi="仿宋" w:eastAsia="仿宋" w:cs="仿宋"/>
                <w:sz w:val="28"/>
                <w:szCs w:val="28"/>
                <w:highlight w:val="none"/>
                <w:lang w:val="zh-CN"/>
              </w:rPr>
              <w:t>水质净化厂进出水</w:t>
            </w:r>
          </w:p>
        </w:tc>
        <w:tc>
          <w:tcPr>
            <w:tcW w:w="2340" w:type="dxa"/>
            <w:noWrap w:val="0"/>
            <w:vAlign w:val="center"/>
          </w:tcPr>
          <w:p w14:paraId="4092D5EB">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进水：C</w:t>
            </w:r>
            <w:r>
              <w:rPr>
                <w:rFonts w:hint="default" w:ascii="仿宋" w:hAnsi="仿宋" w:eastAsia="仿宋" w:cs="仿宋"/>
                <w:sz w:val="28"/>
                <w:szCs w:val="28"/>
                <w:highlight w:val="none"/>
                <w:lang w:val="zh-CN"/>
              </w:rPr>
              <w:t>OD</w:t>
            </w:r>
            <w:r>
              <w:rPr>
                <w:rFonts w:hint="eastAsia" w:ascii="仿宋" w:hAnsi="仿宋" w:eastAsia="仿宋" w:cs="仿宋"/>
                <w:sz w:val="28"/>
                <w:szCs w:val="28"/>
                <w:highlight w:val="none"/>
                <w:lang w:val="zh-CN"/>
              </w:rPr>
              <w:t>、氨氮、</w:t>
            </w:r>
            <w:r>
              <w:rPr>
                <w:rFonts w:hint="eastAsia" w:ascii="仿宋" w:hAnsi="仿宋" w:eastAsia="仿宋" w:cs="仿宋"/>
                <w:sz w:val="28"/>
                <w:szCs w:val="28"/>
                <w:highlight w:val="none"/>
                <w:lang w:val="en-US" w:eastAsia="zh-CN"/>
              </w:rPr>
              <w:t>总磷、总氮</w:t>
            </w:r>
          </w:p>
          <w:p w14:paraId="0B5A836A">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出水：COD、氨氮、总磷、总氮、PH</w:t>
            </w:r>
          </w:p>
        </w:tc>
        <w:tc>
          <w:tcPr>
            <w:tcW w:w="1515" w:type="dxa"/>
            <w:noWrap w:val="0"/>
            <w:vAlign w:val="center"/>
          </w:tcPr>
          <w:p w14:paraId="0D901CFA">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color w:val="auto"/>
                <w:sz w:val="28"/>
                <w:szCs w:val="28"/>
                <w:highlight w:val="none"/>
                <w:lang w:val="en-US" w:eastAsia="zh-CN"/>
              </w:rPr>
            </w:pPr>
          </w:p>
        </w:tc>
        <w:tc>
          <w:tcPr>
            <w:tcW w:w="1048" w:type="dxa"/>
            <w:noWrap w:val="0"/>
            <w:vAlign w:val="center"/>
          </w:tcPr>
          <w:p w14:paraId="4617426D">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个月</w:t>
            </w:r>
          </w:p>
        </w:tc>
        <w:tc>
          <w:tcPr>
            <w:tcW w:w="1067" w:type="dxa"/>
            <w:noWrap w:val="0"/>
            <w:vAlign w:val="center"/>
          </w:tcPr>
          <w:p w14:paraId="0E73F0B9">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color w:val="auto"/>
                <w:sz w:val="28"/>
                <w:szCs w:val="28"/>
                <w:highlight w:val="none"/>
                <w:lang w:val="en-US" w:eastAsia="zh-CN"/>
              </w:rPr>
            </w:pPr>
          </w:p>
        </w:tc>
      </w:tr>
      <w:tr w14:paraId="2291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20" w:type="dxa"/>
            <w:noWrap w:val="0"/>
            <w:vAlign w:val="center"/>
          </w:tcPr>
          <w:p w14:paraId="3D0C59CF">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960" w:type="dxa"/>
            <w:noWrap w:val="0"/>
            <w:vAlign w:val="center"/>
          </w:tcPr>
          <w:p w14:paraId="0FCF098C">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污染源</w:t>
            </w:r>
          </w:p>
        </w:tc>
        <w:tc>
          <w:tcPr>
            <w:tcW w:w="1380" w:type="dxa"/>
            <w:noWrap w:val="0"/>
            <w:vAlign w:val="center"/>
          </w:tcPr>
          <w:p w14:paraId="17143C15">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新港</w:t>
            </w:r>
            <w:r>
              <w:rPr>
                <w:rFonts w:hint="eastAsia" w:ascii="仿宋" w:hAnsi="仿宋" w:eastAsia="仿宋" w:cs="仿宋"/>
                <w:sz w:val="28"/>
                <w:szCs w:val="28"/>
                <w:highlight w:val="none"/>
                <w:lang w:val="zh-CN"/>
              </w:rPr>
              <w:t>水质净化厂进出水</w:t>
            </w:r>
          </w:p>
        </w:tc>
        <w:tc>
          <w:tcPr>
            <w:tcW w:w="2340" w:type="dxa"/>
            <w:noWrap w:val="0"/>
            <w:vAlign w:val="center"/>
          </w:tcPr>
          <w:p w14:paraId="4B38236C">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进水：C</w:t>
            </w:r>
            <w:r>
              <w:rPr>
                <w:rFonts w:hint="default" w:ascii="仿宋" w:hAnsi="仿宋" w:eastAsia="仿宋" w:cs="仿宋"/>
                <w:sz w:val="28"/>
                <w:szCs w:val="28"/>
                <w:highlight w:val="none"/>
                <w:lang w:val="zh-CN"/>
              </w:rPr>
              <w:t>OD</w:t>
            </w:r>
            <w:r>
              <w:rPr>
                <w:rFonts w:hint="eastAsia" w:ascii="仿宋" w:hAnsi="仿宋" w:eastAsia="仿宋" w:cs="仿宋"/>
                <w:sz w:val="28"/>
                <w:szCs w:val="28"/>
                <w:highlight w:val="none"/>
                <w:lang w:val="zh-CN"/>
              </w:rPr>
              <w:t>、氨氮、</w:t>
            </w:r>
            <w:r>
              <w:rPr>
                <w:rFonts w:hint="eastAsia" w:ascii="仿宋" w:hAnsi="仿宋" w:eastAsia="仿宋" w:cs="仿宋"/>
                <w:sz w:val="28"/>
                <w:szCs w:val="28"/>
                <w:highlight w:val="none"/>
                <w:lang w:val="en-US" w:eastAsia="zh-CN"/>
              </w:rPr>
              <w:t>总磷、总氮</w:t>
            </w:r>
          </w:p>
          <w:p w14:paraId="342DC378">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出水：COD、氨氮、总磷、总氮、PH</w:t>
            </w:r>
          </w:p>
        </w:tc>
        <w:tc>
          <w:tcPr>
            <w:tcW w:w="1515" w:type="dxa"/>
            <w:noWrap w:val="0"/>
            <w:vAlign w:val="center"/>
          </w:tcPr>
          <w:p w14:paraId="62CD062D">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color w:val="auto"/>
                <w:sz w:val="28"/>
                <w:szCs w:val="28"/>
                <w:highlight w:val="none"/>
                <w:lang w:val="en-US" w:eastAsia="zh-CN"/>
              </w:rPr>
            </w:pPr>
          </w:p>
        </w:tc>
        <w:tc>
          <w:tcPr>
            <w:tcW w:w="1048" w:type="dxa"/>
            <w:noWrap w:val="0"/>
            <w:vAlign w:val="center"/>
          </w:tcPr>
          <w:p w14:paraId="707CF768">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个月</w:t>
            </w:r>
          </w:p>
        </w:tc>
        <w:tc>
          <w:tcPr>
            <w:tcW w:w="1067" w:type="dxa"/>
            <w:noWrap w:val="0"/>
            <w:vAlign w:val="center"/>
          </w:tcPr>
          <w:p w14:paraId="7EA5D816">
            <w:pPr>
              <w:keepNext w:val="0"/>
              <w:keepLines w:val="0"/>
              <w:suppressLineNumbers w:val="0"/>
              <w:tabs>
                <w:tab w:val="left" w:pos="8280"/>
              </w:tabs>
              <w:autoSpaceDE w:val="0"/>
              <w:autoSpaceDN w:val="0"/>
              <w:adjustRightInd w:val="0"/>
              <w:snapToGrid w:val="0"/>
              <w:spacing w:before="0" w:beforeAutospacing="0" w:after="0" w:afterAutospacing="0" w:line="480" w:lineRule="exact"/>
              <w:ind w:left="0" w:right="0"/>
              <w:jc w:val="center"/>
              <w:rPr>
                <w:rFonts w:hint="eastAsia" w:ascii="仿宋" w:hAnsi="仿宋" w:eastAsia="仿宋" w:cs="仿宋"/>
                <w:color w:val="auto"/>
                <w:sz w:val="28"/>
                <w:szCs w:val="28"/>
                <w:highlight w:val="none"/>
                <w:lang w:val="en-US" w:eastAsia="zh-CN"/>
              </w:rPr>
            </w:pPr>
          </w:p>
        </w:tc>
      </w:tr>
    </w:tbl>
    <w:p w14:paraId="23F399FA">
      <w:pPr>
        <w:tabs>
          <w:tab w:val="left" w:pos="8280"/>
        </w:tabs>
        <w:autoSpaceDE w:val="0"/>
        <w:autoSpaceDN w:val="0"/>
        <w:adjustRightInd w:val="0"/>
        <w:snapToGrid w:val="0"/>
        <w:spacing w:line="480" w:lineRule="exact"/>
        <w:rPr>
          <w:rFonts w:ascii="仿宋" w:hAnsi="仿宋" w:eastAsia="仿宋" w:cs="仿宋"/>
          <w:sz w:val="28"/>
          <w:szCs w:val="28"/>
          <w:highlight w:val="none"/>
          <w:lang w:val="zh-CN"/>
        </w:rPr>
      </w:pPr>
      <w:r>
        <w:rPr>
          <w:rFonts w:ascii="仿宋" w:hAnsi="仿宋" w:eastAsia="仿宋" w:cs="仿宋"/>
          <w:sz w:val="28"/>
          <w:szCs w:val="28"/>
          <w:highlight w:val="none"/>
          <w:lang w:val="zh-CN"/>
        </w:rPr>
        <w:t>二、委托</w:t>
      </w:r>
      <w:r>
        <w:rPr>
          <w:rFonts w:hint="eastAsia" w:ascii="仿宋" w:hAnsi="仿宋" w:eastAsia="仿宋" w:cs="仿宋"/>
          <w:sz w:val="28"/>
          <w:szCs w:val="28"/>
          <w:highlight w:val="none"/>
          <w:lang w:val="zh-CN"/>
        </w:rPr>
        <w:t>运维</w:t>
      </w:r>
      <w:r>
        <w:rPr>
          <w:rFonts w:ascii="仿宋" w:hAnsi="仿宋" w:eastAsia="仿宋" w:cs="仿宋"/>
          <w:sz w:val="28"/>
          <w:szCs w:val="28"/>
          <w:highlight w:val="none"/>
          <w:lang w:val="zh-CN"/>
        </w:rPr>
        <w:t>时间及金额</w:t>
      </w:r>
    </w:p>
    <w:p w14:paraId="36B40439">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ascii="仿宋" w:hAnsi="仿宋" w:eastAsia="仿宋" w:cs="仿宋"/>
          <w:sz w:val="28"/>
          <w:szCs w:val="28"/>
          <w:highlight w:val="none"/>
          <w:lang w:val="zh-CN"/>
        </w:rPr>
        <w:t>委托</w:t>
      </w:r>
      <w:r>
        <w:rPr>
          <w:rFonts w:hint="eastAsia" w:ascii="仿宋" w:hAnsi="仿宋" w:eastAsia="仿宋" w:cs="仿宋"/>
          <w:sz w:val="28"/>
          <w:szCs w:val="28"/>
          <w:highlight w:val="none"/>
          <w:lang w:val="zh-CN"/>
        </w:rPr>
        <w:t>运维</w:t>
      </w:r>
      <w:r>
        <w:rPr>
          <w:rFonts w:ascii="仿宋" w:hAnsi="仿宋" w:eastAsia="仿宋" w:cs="仿宋"/>
          <w:sz w:val="28"/>
          <w:szCs w:val="28"/>
          <w:highlight w:val="none"/>
          <w:lang w:val="zh-CN"/>
        </w:rPr>
        <w:t>时间：</w:t>
      </w:r>
      <w:r>
        <w:rPr>
          <w:rFonts w:ascii="仿宋" w:hAnsi="仿宋" w:eastAsia="仿宋" w:cs="仿宋"/>
          <w:color w:val="E46C0A" w:themeColor="accent6" w:themeShade="BF"/>
          <w:sz w:val="28"/>
          <w:szCs w:val="28"/>
          <w:highlight w:val="none"/>
          <w:lang w:val="zh-CN"/>
        </w:rPr>
        <w:t>自202</w:t>
      </w:r>
      <w:r>
        <w:rPr>
          <w:rFonts w:hint="eastAsia" w:ascii="仿宋" w:hAnsi="仿宋" w:eastAsia="仿宋" w:cs="仿宋"/>
          <w:color w:val="E46C0A" w:themeColor="accent6" w:themeShade="BF"/>
          <w:sz w:val="28"/>
          <w:szCs w:val="28"/>
          <w:highlight w:val="none"/>
          <w:lang w:val="en-US" w:eastAsia="zh-CN"/>
        </w:rPr>
        <w:t>5</w:t>
      </w:r>
      <w:r>
        <w:rPr>
          <w:rFonts w:ascii="仿宋" w:hAnsi="仿宋" w:eastAsia="仿宋" w:cs="仿宋"/>
          <w:color w:val="E46C0A" w:themeColor="accent6" w:themeShade="BF"/>
          <w:sz w:val="28"/>
          <w:szCs w:val="28"/>
          <w:highlight w:val="none"/>
          <w:lang w:val="zh-CN"/>
        </w:rPr>
        <w:t>年</w:t>
      </w:r>
      <w:r>
        <w:rPr>
          <w:rFonts w:hint="eastAsia" w:ascii="仿宋" w:hAnsi="仿宋" w:eastAsia="仿宋" w:cs="仿宋"/>
          <w:color w:val="E46C0A" w:themeColor="accent6" w:themeShade="BF"/>
          <w:sz w:val="28"/>
          <w:szCs w:val="28"/>
          <w:highlight w:val="none"/>
          <w:lang w:val="en-US" w:eastAsia="zh-CN"/>
        </w:rPr>
        <w:t xml:space="preserve"> </w:t>
      </w:r>
      <w:r>
        <w:rPr>
          <w:rFonts w:ascii="仿宋" w:hAnsi="仿宋" w:eastAsia="仿宋" w:cs="仿宋"/>
          <w:color w:val="E46C0A" w:themeColor="accent6" w:themeShade="BF"/>
          <w:sz w:val="28"/>
          <w:szCs w:val="28"/>
          <w:highlight w:val="none"/>
          <w:lang w:val="zh-CN"/>
        </w:rPr>
        <w:t>月</w:t>
      </w:r>
      <w:r>
        <w:rPr>
          <w:rFonts w:hint="eastAsia" w:ascii="仿宋" w:hAnsi="仿宋" w:eastAsia="仿宋" w:cs="仿宋"/>
          <w:color w:val="E46C0A" w:themeColor="accent6" w:themeShade="BF"/>
          <w:sz w:val="28"/>
          <w:szCs w:val="28"/>
          <w:highlight w:val="none"/>
          <w:lang w:val="en-US" w:eastAsia="zh-CN"/>
        </w:rPr>
        <w:t xml:space="preserve">  </w:t>
      </w:r>
      <w:r>
        <w:rPr>
          <w:rFonts w:ascii="仿宋" w:hAnsi="仿宋" w:eastAsia="仿宋" w:cs="仿宋"/>
          <w:color w:val="E46C0A" w:themeColor="accent6" w:themeShade="BF"/>
          <w:sz w:val="28"/>
          <w:szCs w:val="28"/>
          <w:highlight w:val="none"/>
          <w:lang w:val="zh-CN"/>
        </w:rPr>
        <w:t>日至</w:t>
      </w:r>
      <w:r>
        <w:rPr>
          <w:rFonts w:hint="eastAsia" w:ascii="仿宋" w:hAnsi="仿宋" w:eastAsia="仿宋" w:cs="仿宋"/>
          <w:color w:val="E46C0A" w:themeColor="accent6" w:themeShade="BF"/>
          <w:sz w:val="28"/>
          <w:szCs w:val="28"/>
          <w:highlight w:val="none"/>
          <w:lang w:val="zh-CN"/>
        </w:rPr>
        <w:t>202</w:t>
      </w:r>
      <w:r>
        <w:rPr>
          <w:rFonts w:hint="eastAsia" w:ascii="仿宋" w:hAnsi="仿宋" w:eastAsia="仿宋" w:cs="仿宋"/>
          <w:color w:val="E46C0A" w:themeColor="accent6" w:themeShade="BF"/>
          <w:sz w:val="28"/>
          <w:szCs w:val="28"/>
          <w:highlight w:val="none"/>
          <w:lang w:val="en-US" w:eastAsia="zh-CN"/>
        </w:rPr>
        <w:t>6</w:t>
      </w:r>
      <w:r>
        <w:rPr>
          <w:rFonts w:ascii="仿宋" w:hAnsi="仿宋" w:eastAsia="仿宋" w:cs="仿宋"/>
          <w:color w:val="E46C0A" w:themeColor="accent6" w:themeShade="BF"/>
          <w:sz w:val="28"/>
          <w:szCs w:val="28"/>
          <w:highlight w:val="none"/>
          <w:lang w:val="zh-CN"/>
        </w:rPr>
        <w:t>年</w:t>
      </w:r>
      <w:r>
        <w:rPr>
          <w:rFonts w:hint="eastAsia" w:ascii="仿宋" w:hAnsi="仿宋" w:eastAsia="仿宋" w:cs="仿宋"/>
          <w:color w:val="E46C0A" w:themeColor="accent6" w:themeShade="BF"/>
          <w:sz w:val="28"/>
          <w:szCs w:val="28"/>
          <w:highlight w:val="none"/>
          <w:lang w:val="en-US" w:eastAsia="zh-CN"/>
        </w:rPr>
        <w:t xml:space="preserve">  </w:t>
      </w:r>
      <w:r>
        <w:rPr>
          <w:rFonts w:ascii="仿宋" w:hAnsi="仿宋" w:eastAsia="仿宋" w:cs="仿宋"/>
          <w:color w:val="E46C0A" w:themeColor="accent6" w:themeShade="BF"/>
          <w:sz w:val="28"/>
          <w:szCs w:val="28"/>
          <w:highlight w:val="none"/>
          <w:lang w:val="zh-CN"/>
        </w:rPr>
        <w:t>月</w:t>
      </w:r>
      <w:r>
        <w:rPr>
          <w:rFonts w:hint="eastAsia" w:ascii="仿宋" w:hAnsi="仿宋" w:eastAsia="仿宋" w:cs="仿宋"/>
          <w:color w:val="E46C0A" w:themeColor="accent6" w:themeShade="BF"/>
          <w:sz w:val="28"/>
          <w:szCs w:val="28"/>
          <w:highlight w:val="none"/>
          <w:lang w:val="en-US" w:eastAsia="zh-CN"/>
        </w:rPr>
        <w:t xml:space="preserve">  </w:t>
      </w:r>
      <w:r>
        <w:rPr>
          <w:rFonts w:ascii="仿宋" w:hAnsi="仿宋" w:eastAsia="仿宋" w:cs="仿宋"/>
          <w:color w:val="E46C0A" w:themeColor="accent6" w:themeShade="BF"/>
          <w:sz w:val="28"/>
          <w:szCs w:val="28"/>
          <w:highlight w:val="none"/>
          <w:lang w:val="zh-CN"/>
        </w:rPr>
        <w:t>日</w:t>
      </w:r>
      <w:r>
        <w:rPr>
          <w:rFonts w:hint="eastAsia" w:ascii="仿宋" w:hAnsi="仿宋" w:eastAsia="仿宋" w:cs="仿宋"/>
          <w:sz w:val="28"/>
          <w:szCs w:val="28"/>
          <w:highlight w:val="none"/>
          <w:lang w:val="zh-CN"/>
        </w:rPr>
        <w:t>；</w:t>
      </w:r>
    </w:p>
    <w:p w14:paraId="4A0DC013">
      <w:pPr>
        <w:spacing w:line="480" w:lineRule="exact"/>
        <w:ind w:firstLine="560" w:firstLineChars="200"/>
        <w:rPr>
          <w:rFonts w:ascii="仿宋" w:hAnsi="仿宋" w:eastAsia="仿宋" w:cs="仿宋"/>
          <w:color w:val="000000"/>
          <w:sz w:val="28"/>
          <w:szCs w:val="28"/>
          <w:highlight w:val="none"/>
          <w:lang w:val="zh-CN"/>
        </w:rPr>
      </w:pPr>
      <w:r>
        <w:rPr>
          <w:rFonts w:hint="eastAsia" w:ascii="仿宋" w:hAnsi="仿宋" w:eastAsia="仿宋" w:cs="仿宋"/>
          <w:sz w:val="28"/>
          <w:szCs w:val="28"/>
          <w:highlight w:val="none"/>
          <w:lang w:val="zh-CN"/>
        </w:rPr>
        <w:t>2.</w:t>
      </w:r>
      <w:r>
        <w:rPr>
          <w:rFonts w:ascii="仿宋" w:hAnsi="仿宋" w:eastAsia="仿宋" w:cs="仿宋"/>
          <w:sz w:val="28"/>
          <w:szCs w:val="28"/>
          <w:highlight w:val="none"/>
          <w:lang w:val="zh-CN"/>
        </w:rPr>
        <w:t>委托</w:t>
      </w:r>
      <w:r>
        <w:rPr>
          <w:rFonts w:hint="eastAsia" w:ascii="仿宋" w:hAnsi="仿宋" w:eastAsia="仿宋" w:cs="仿宋"/>
          <w:sz w:val="28"/>
          <w:szCs w:val="28"/>
          <w:highlight w:val="none"/>
          <w:lang w:val="zh-CN"/>
        </w:rPr>
        <w:t>运维</w:t>
      </w:r>
      <w:r>
        <w:rPr>
          <w:rFonts w:ascii="仿宋" w:hAnsi="仿宋" w:eastAsia="仿宋" w:cs="仿宋"/>
          <w:sz w:val="28"/>
          <w:szCs w:val="28"/>
          <w:highlight w:val="none"/>
          <w:lang w:val="zh-CN"/>
        </w:rPr>
        <w:t>总金额</w:t>
      </w:r>
      <w:r>
        <w:rPr>
          <w:rFonts w:hint="eastAsia" w:ascii="仿宋" w:hAnsi="仿宋" w:eastAsia="仿宋" w:cs="仿宋"/>
          <w:sz w:val="28"/>
          <w:szCs w:val="28"/>
          <w:highlight w:val="none"/>
          <w:lang w:val="zh-CN"/>
        </w:rPr>
        <w:t>（含税）</w:t>
      </w:r>
      <w:r>
        <w:rPr>
          <w:rFonts w:ascii="仿宋" w:hAnsi="仿宋" w:eastAsia="仿宋" w:cs="仿宋"/>
          <w:sz w:val="28"/>
          <w:szCs w:val="28"/>
          <w:highlight w:val="none"/>
          <w:lang w:val="zh-CN"/>
        </w:rPr>
        <w:t>：</w:t>
      </w:r>
    </w:p>
    <w:p w14:paraId="0604C4F8">
      <w:pPr>
        <w:tabs>
          <w:tab w:val="left" w:pos="8280"/>
        </w:tabs>
        <w:autoSpaceDE w:val="0"/>
        <w:autoSpaceDN w:val="0"/>
        <w:adjustRightInd w:val="0"/>
        <w:snapToGrid w:val="0"/>
        <w:spacing w:line="480" w:lineRule="exact"/>
        <w:rPr>
          <w:rFonts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三</w:t>
      </w:r>
      <w:r>
        <w:rPr>
          <w:rFonts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lang w:val="zh-CN"/>
        </w:rPr>
        <w:t>运维</w:t>
      </w:r>
      <w:r>
        <w:rPr>
          <w:rFonts w:ascii="仿宋" w:hAnsi="仿宋" w:eastAsia="仿宋" w:cs="仿宋"/>
          <w:color w:val="000000"/>
          <w:sz w:val="28"/>
          <w:szCs w:val="28"/>
          <w:highlight w:val="none"/>
          <w:lang w:val="zh-CN"/>
        </w:rPr>
        <w:t>费支付</w:t>
      </w:r>
    </w:p>
    <w:p w14:paraId="34CA696D">
      <w:pPr>
        <w:spacing w:line="480" w:lineRule="exact"/>
        <w:ind w:firstLine="570"/>
        <w:rPr>
          <w:rFonts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1.</w:t>
      </w:r>
      <w:r>
        <w:rPr>
          <w:rFonts w:ascii="仿宋" w:hAnsi="仿宋" w:eastAsia="仿宋" w:cs="仿宋"/>
          <w:color w:val="000000"/>
          <w:sz w:val="28"/>
          <w:szCs w:val="28"/>
          <w:highlight w:val="none"/>
          <w:lang w:val="zh-CN"/>
        </w:rPr>
        <w:t>甲方以转账的方式把款汇到乙方如下指定的账户：</w:t>
      </w:r>
    </w:p>
    <w:p w14:paraId="694931B9">
      <w:pPr>
        <w:spacing w:line="480" w:lineRule="exact"/>
        <w:ind w:firstLine="570"/>
        <w:rPr>
          <w:rFonts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单位名称：</w:t>
      </w:r>
    </w:p>
    <w:p w14:paraId="00CF76D9">
      <w:pPr>
        <w:spacing w:line="480" w:lineRule="exact"/>
        <w:ind w:firstLine="570"/>
        <w:rPr>
          <w:rFonts w:ascii="仿宋" w:hAnsi="仿宋" w:eastAsia="仿宋" w:cs="仿宋"/>
          <w:color w:val="000000"/>
          <w:sz w:val="28"/>
          <w:szCs w:val="28"/>
          <w:highlight w:val="none"/>
          <w:lang w:val="zh-CN"/>
        </w:rPr>
      </w:pPr>
      <w:r>
        <w:rPr>
          <w:rFonts w:ascii="仿宋" w:hAnsi="仿宋" w:eastAsia="仿宋" w:cs="仿宋"/>
          <w:color w:val="000000"/>
          <w:sz w:val="28"/>
          <w:szCs w:val="28"/>
          <w:highlight w:val="none"/>
          <w:lang w:val="zh-CN"/>
        </w:rPr>
        <w:t>开户行：</w:t>
      </w:r>
    </w:p>
    <w:p w14:paraId="7B05721D">
      <w:pPr>
        <w:spacing w:line="480" w:lineRule="exact"/>
        <w:ind w:firstLine="570"/>
        <w:rPr>
          <w:rFonts w:ascii="仿宋" w:hAnsi="仿宋" w:eastAsia="仿宋" w:cs="仿宋"/>
          <w:color w:val="000000"/>
          <w:sz w:val="28"/>
          <w:szCs w:val="28"/>
          <w:highlight w:val="none"/>
          <w:lang w:val="zh-CN"/>
        </w:rPr>
      </w:pPr>
      <w:r>
        <w:rPr>
          <w:rFonts w:ascii="仿宋" w:hAnsi="仿宋" w:eastAsia="仿宋" w:cs="仿宋"/>
          <w:color w:val="000000"/>
          <w:sz w:val="28"/>
          <w:szCs w:val="28"/>
          <w:highlight w:val="none"/>
          <w:lang w:val="zh-CN"/>
        </w:rPr>
        <w:t>帐号：</w:t>
      </w:r>
    </w:p>
    <w:p w14:paraId="6FE291E7">
      <w:pPr>
        <w:spacing w:line="480" w:lineRule="exact"/>
        <w:ind w:left="0"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ascii="仿宋" w:hAnsi="仿宋" w:eastAsia="仿宋" w:cs="仿宋"/>
          <w:sz w:val="28"/>
          <w:szCs w:val="28"/>
          <w:highlight w:val="none"/>
          <w:lang w:val="zh-CN"/>
        </w:rPr>
        <w:t>合同签订后</w:t>
      </w:r>
      <w:r>
        <w:rPr>
          <w:rFonts w:hint="eastAsia" w:ascii="仿宋" w:hAnsi="仿宋" w:eastAsia="仿宋" w:cs="仿宋"/>
          <w:sz w:val="28"/>
          <w:szCs w:val="28"/>
          <w:highlight w:val="none"/>
          <w:lang w:val="zh-CN"/>
        </w:rPr>
        <w:t>按甲方每季度确认的考核结果（考核标准详见附件）进行结算；每季度末前，乙方向甲方提供该季度甲方认可的其他票证以及增值税发票等；甲方确认无误后在十五个工作日内一次性无息付清。</w:t>
      </w:r>
    </w:p>
    <w:p w14:paraId="1B886CB9">
      <w:pPr>
        <w:spacing w:line="480" w:lineRule="exact"/>
        <w:ind w:firstLine="560" w:firstLineChars="200"/>
        <w:rPr>
          <w:rFonts w:ascii="仿宋" w:hAnsi="仿宋" w:eastAsia="仿宋" w:cs="仿宋"/>
          <w:sz w:val="28"/>
          <w:szCs w:val="28"/>
          <w:highlight w:val="none"/>
          <w:lang w:val="zh-CN"/>
        </w:rPr>
      </w:pPr>
      <w:r>
        <w:rPr>
          <w:rFonts w:ascii="仿宋" w:hAnsi="仿宋" w:eastAsia="仿宋" w:cs="仿宋"/>
          <w:sz w:val="28"/>
          <w:szCs w:val="28"/>
          <w:highlight w:val="none"/>
          <w:lang w:val="zh-CN"/>
        </w:rPr>
        <w:t>3.</w:t>
      </w:r>
      <w:r>
        <w:rPr>
          <w:rFonts w:hint="eastAsia" w:ascii="仿宋" w:hAnsi="仿宋" w:eastAsia="仿宋" w:cs="仿宋"/>
          <w:sz w:val="28"/>
          <w:szCs w:val="28"/>
          <w:highlight w:val="none"/>
          <w:lang w:val="zh-CN"/>
        </w:rPr>
        <w:t xml:space="preserve">每次付款前乙方需向甲方开具与当次付款金额一致的税目为 </w:t>
      </w:r>
      <w:r>
        <w:rPr>
          <w:rFonts w:hint="eastAsia" w:ascii="仿宋" w:hAnsi="仿宋" w:eastAsia="仿宋" w:cs="仿宋"/>
          <w:color w:val="E46C0A" w:themeColor="accent6" w:themeShade="BF"/>
          <w:sz w:val="28"/>
          <w:szCs w:val="28"/>
          <w:highlight w:val="none"/>
          <w:lang w:val="en-US" w:eastAsia="zh-CN"/>
        </w:rPr>
        <w:t>研发和技术服务</w:t>
      </w:r>
      <w:r>
        <w:rPr>
          <w:rFonts w:hint="eastAsia" w:ascii="仿宋" w:hAnsi="仿宋" w:eastAsia="仿宋" w:cs="仿宋"/>
          <w:sz w:val="28"/>
          <w:szCs w:val="28"/>
          <w:highlight w:val="none"/>
          <w:lang w:val="zh-CN"/>
        </w:rPr>
        <w:t xml:space="preserve">  ，税率为 6 %的增值税☑专用发票 □普通发票；甲方凭发票方办理付款手续；乙方须遵循甲方关于发票的相关要求与规定；合同履行过程中，如果税收相关法律法规政策有所调整，税金部分以最新规定的税率为准，不含税金额不变，前期按合同约定已开具的增值税发票及税额不再追溯调整。</w:t>
      </w:r>
    </w:p>
    <w:p w14:paraId="7A466987">
      <w:pPr>
        <w:spacing w:line="480" w:lineRule="exac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四、服务内容</w:t>
      </w:r>
    </w:p>
    <w:p w14:paraId="12B1E728">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1.水污染源自动监控设施的日常维护、保养、故障维修；</w:t>
      </w:r>
    </w:p>
    <w:p w14:paraId="7E8C5F4A">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2.水污染源自动监控设施的试剂、标准物的更换；</w:t>
      </w:r>
    </w:p>
    <w:p w14:paraId="3FB565B8">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3.水污染源自动监控设施校检；</w:t>
      </w:r>
    </w:p>
    <w:p w14:paraId="15E9B885">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4.水污染源自动监控设施软件正常维护；</w:t>
      </w:r>
    </w:p>
    <w:p w14:paraId="2F9A0112">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5.水污染源自动监控设施通讯传输的维护；</w:t>
      </w:r>
    </w:p>
    <w:p w14:paraId="61E246E9">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6.水污染源自动监控设施运行档案建设。</w:t>
      </w:r>
    </w:p>
    <w:p w14:paraId="6B8AC4B7">
      <w:pPr>
        <w:spacing w:line="480" w:lineRule="exac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五、乙方技术服务指标</w:t>
      </w:r>
    </w:p>
    <w:p w14:paraId="23681FA1">
      <w:pPr>
        <w:spacing w:line="480" w:lineRule="exact"/>
        <w:ind w:firstLine="555"/>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乙方须提供的技术服务指标要求及相应的考核细则详见附件。</w:t>
      </w:r>
    </w:p>
    <w:p w14:paraId="3752C9E5">
      <w:pPr>
        <w:spacing w:line="480" w:lineRule="exac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rPr>
        <w:t>六、双方的权利和</w:t>
      </w:r>
      <w:r>
        <w:rPr>
          <w:rFonts w:hint="eastAsia" w:ascii="仿宋" w:hAnsi="仿宋" w:eastAsia="仿宋" w:cs="仿宋"/>
          <w:sz w:val="28"/>
          <w:szCs w:val="28"/>
          <w:highlight w:val="none"/>
          <w:lang w:val="en-US" w:eastAsia="zh-CN"/>
        </w:rPr>
        <w:t>义务</w:t>
      </w:r>
    </w:p>
    <w:p w14:paraId="6305E35B">
      <w:pPr>
        <w:spacing w:line="480" w:lineRule="exact"/>
        <w:ind w:firstLine="560" w:firstLineChars="200"/>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rPr>
        <w:t>1.甲方权利和</w:t>
      </w:r>
      <w:r>
        <w:rPr>
          <w:rFonts w:hint="eastAsia" w:ascii="仿宋" w:hAnsi="仿宋" w:eastAsia="仿宋" w:cs="仿宋"/>
          <w:sz w:val="28"/>
          <w:szCs w:val="28"/>
          <w:highlight w:val="none"/>
          <w:lang w:val="en-US" w:eastAsia="zh-CN"/>
        </w:rPr>
        <w:t>义务</w:t>
      </w:r>
    </w:p>
    <w:p w14:paraId="0ECCDA4C">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（1）如由甲方提供水污染源自动监控设施的，甲方应保证向乙方提供的前述设施是完整的、可运行的、性能正常的，符合国家及行业标准；</w:t>
      </w:r>
    </w:p>
    <w:p w14:paraId="6477D949">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（2）提供</w:t>
      </w:r>
      <w:r>
        <w:rPr>
          <w:rFonts w:hint="eastAsia" w:ascii="仿宋" w:hAnsi="仿宋" w:eastAsia="仿宋" w:cs="仿宋"/>
          <w:sz w:val="28"/>
          <w:szCs w:val="28"/>
          <w:highlight w:val="none"/>
          <w:lang w:val="en-US" w:eastAsia="zh-CN"/>
        </w:rPr>
        <w:t>运维设施</w:t>
      </w:r>
      <w:r>
        <w:rPr>
          <w:rFonts w:hint="default" w:ascii="仿宋" w:hAnsi="仿宋" w:eastAsia="仿宋" w:cs="仿宋"/>
          <w:sz w:val="28"/>
          <w:szCs w:val="28"/>
          <w:highlight w:val="none"/>
          <w:lang w:val="en-US"/>
        </w:rPr>
        <w:t>操</w:t>
      </w:r>
      <w:r>
        <w:rPr>
          <w:rFonts w:hint="eastAsia" w:ascii="仿宋" w:hAnsi="仿宋" w:eastAsia="仿宋" w:cs="仿宋"/>
          <w:sz w:val="28"/>
          <w:szCs w:val="28"/>
          <w:highlight w:val="none"/>
          <w:lang w:val="zh-CN"/>
        </w:rPr>
        <w:t>作说明书、试剂配置方法、系统密码、机柜钥匙、相关检测报告及认证证书等附件；</w:t>
      </w:r>
    </w:p>
    <w:p w14:paraId="1461CC4E">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（3）运维期间，自动监控设施设备产生的废液和试剂使用后的空瓶，属于自动监控设施设备运行过程中的伴生物。废液和试剂空瓶的收集、贮存、运输、处置及其费用由甲方承担；</w:t>
      </w:r>
    </w:p>
    <w:p w14:paraId="6C21F0FB">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（4）承担运维设备正常运行所需的公共工程建设与费用，包括水、电、气、通讯、站房防火防盗设施、站房运行环境保障设施等；</w:t>
      </w:r>
    </w:p>
    <w:p w14:paraId="454D47EB">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（5）承担在线设备第三方比对及强制检定费用；</w:t>
      </w:r>
    </w:p>
    <w:p w14:paraId="3297A37F">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（6）承担当地主管部门要求的相关标识标牌，环保制度上墙制作安装与费用。</w:t>
      </w:r>
    </w:p>
    <w:p w14:paraId="37FE0EBF">
      <w:pPr>
        <w:spacing w:line="480" w:lineRule="exact"/>
        <w:ind w:firstLine="560" w:firstLineChars="200"/>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rPr>
        <w:t>2.乙方的权利和</w:t>
      </w:r>
      <w:r>
        <w:rPr>
          <w:rFonts w:hint="eastAsia" w:ascii="仿宋" w:hAnsi="仿宋" w:eastAsia="仿宋" w:cs="仿宋"/>
          <w:sz w:val="28"/>
          <w:szCs w:val="28"/>
          <w:highlight w:val="none"/>
          <w:lang w:val="en-US" w:eastAsia="zh-CN"/>
        </w:rPr>
        <w:t>义务</w:t>
      </w:r>
    </w:p>
    <w:p w14:paraId="18390C56">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（1）乙方按合同对仪器进行运维接手之前负责对仪器的检查工作，如需要整改，由乙方提出整改意见，待甲方按要求整改完毕后，乙方正式履行相关运维职责；</w:t>
      </w:r>
    </w:p>
    <w:p w14:paraId="270E0B43">
      <w:pPr>
        <w:spacing w:line="480" w:lineRule="exact"/>
        <w:ind w:left="980" w:leftChars="200" w:hanging="560" w:hanging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（2）提供真实的自动监控数据并稳定上传；</w:t>
      </w:r>
    </w:p>
    <w:p w14:paraId="6A5A5B68">
      <w:pPr>
        <w:spacing w:line="480" w:lineRule="exact"/>
        <w:ind w:firstLine="420" w:firstLineChars="15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（3）如因甲方未能履行职责与义务，造成设施不正常运行、数据不准确、被环保部门处罚的，乙方不承担任何责任。</w:t>
      </w:r>
    </w:p>
    <w:p w14:paraId="69ECB02B">
      <w:pPr>
        <w:spacing w:line="480" w:lineRule="exact"/>
        <w:ind w:left="560" w:hanging="560" w:hanging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七、备件范围</w:t>
      </w:r>
    </w:p>
    <w:p w14:paraId="7AF0B144">
      <w:pPr>
        <w:spacing w:line="480" w:lineRule="exact"/>
        <w:ind w:left="0" w:leftChars="0"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在运维期内备件金额在500元</w:t>
      </w:r>
      <w:r>
        <w:rPr>
          <w:rFonts w:hint="eastAsia" w:ascii="仿宋" w:hAnsi="仿宋" w:eastAsia="仿宋" w:cs="仿宋"/>
          <w:sz w:val="28"/>
          <w:szCs w:val="28"/>
          <w:highlight w:val="none"/>
          <w:lang w:val="en-US" w:eastAsia="zh-CN"/>
        </w:rPr>
        <w:t>(含500元)</w:t>
      </w:r>
      <w:r>
        <w:rPr>
          <w:rFonts w:hint="eastAsia" w:ascii="仿宋" w:hAnsi="仿宋" w:eastAsia="仿宋" w:cs="仿宋"/>
          <w:sz w:val="28"/>
          <w:szCs w:val="28"/>
          <w:highlight w:val="none"/>
          <w:lang w:val="zh-CN"/>
        </w:rPr>
        <w:t>以下由乙方</w:t>
      </w:r>
      <w:r>
        <w:rPr>
          <w:rFonts w:hint="eastAsia" w:ascii="仿宋" w:hAnsi="仿宋" w:eastAsia="仿宋" w:cs="仿宋"/>
          <w:sz w:val="28"/>
          <w:szCs w:val="28"/>
          <w:highlight w:val="none"/>
          <w:lang w:val="en-US" w:eastAsia="zh-CN"/>
        </w:rPr>
        <w:t>免费</w:t>
      </w:r>
      <w:r>
        <w:rPr>
          <w:rFonts w:hint="eastAsia" w:ascii="仿宋" w:hAnsi="仿宋" w:eastAsia="仿宋" w:cs="仿宋"/>
          <w:sz w:val="28"/>
          <w:szCs w:val="28"/>
          <w:highlight w:val="none"/>
          <w:lang w:val="zh-CN"/>
        </w:rPr>
        <w:t>提供， 500元以上由甲方提供，其中备件金额以设备生产厂家报价为准。</w:t>
      </w:r>
    </w:p>
    <w:p w14:paraId="1F31F09B">
      <w:pPr>
        <w:spacing w:line="480" w:lineRule="exac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八、保密责任</w:t>
      </w:r>
    </w:p>
    <w:p w14:paraId="7E71959D">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双方应当对本协议的内容、履行期间获取的商务、财务、技术、产品的信息、产品价款、用户资料保密，未经披露方同意，不得向任何第三方泄露。本保密义务应在本协议终止后仍然有效。</w:t>
      </w:r>
    </w:p>
    <w:p w14:paraId="4CB03760">
      <w:pPr>
        <w:spacing w:line="480" w:lineRule="exact"/>
        <w:ind w:left="560" w:hanging="560" w:hanging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九、违约责任</w:t>
      </w:r>
    </w:p>
    <w:p w14:paraId="1046061D">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1.甲方逾期付款的，</w:t>
      </w:r>
      <w:r>
        <w:rPr>
          <w:rFonts w:hint="eastAsia" w:ascii="仿宋" w:hAnsi="仿宋" w:eastAsia="仿宋" w:cs="仿宋"/>
          <w:sz w:val="28"/>
          <w:szCs w:val="28"/>
          <w:highlight w:val="none"/>
          <w:lang w:val="en-US" w:eastAsia="zh-CN"/>
        </w:rPr>
        <w:t>应按一年期贷款市场报价利率</w:t>
      </w:r>
      <w:r>
        <w:rPr>
          <w:rFonts w:hint="eastAsia" w:ascii="仿宋" w:hAnsi="仿宋" w:eastAsia="仿宋" w:cs="仿宋"/>
          <w:sz w:val="28"/>
          <w:szCs w:val="28"/>
          <w:highlight w:val="none"/>
          <w:lang w:val="zh-CN"/>
        </w:rPr>
        <w:t>的</w:t>
      </w:r>
      <w:r>
        <w:rPr>
          <w:rFonts w:hint="eastAsia" w:ascii="仿宋" w:hAnsi="仿宋" w:eastAsia="仿宋" w:cs="仿宋"/>
          <w:sz w:val="28"/>
          <w:szCs w:val="28"/>
          <w:highlight w:val="none"/>
          <w:lang w:val="en-US" w:eastAsia="zh-CN"/>
        </w:rPr>
        <w:t>标准向乙方支付</w:t>
      </w:r>
      <w:r>
        <w:rPr>
          <w:rFonts w:hint="eastAsia" w:ascii="仿宋" w:hAnsi="仿宋" w:eastAsia="仿宋" w:cs="仿宋"/>
          <w:sz w:val="28"/>
          <w:szCs w:val="28"/>
          <w:highlight w:val="none"/>
          <w:lang w:val="zh-CN"/>
        </w:rPr>
        <w:t>违约金，逾期超过30天的，乙方有权</w:t>
      </w:r>
      <w:r>
        <w:rPr>
          <w:rFonts w:hint="eastAsia" w:ascii="仿宋" w:hAnsi="仿宋" w:eastAsia="仿宋" w:cs="仿宋"/>
          <w:sz w:val="28"/>
          <w:szCs w:val="28"/>
          <w:highlight w:val="none"/>
          <w:lang w:val="en-US" w:eastAsia="zh-CN"/>
        </w:rPr>
        <w:t>暂</w:t>
      </w:r>
      <w:r>
        <w:rPr>
          <w:rFonts w:hint="eastAsia" w:ascii="仿宋" w:hAnsi="仿宋" w:eastAsia="仿宋" w:cs="仿宋"/>
          <w:sz w:val="28"/>
          <w:szCs w:val="28"/>
          <w:highlight w:val="none"/>
          <w:lang w:val="zh-CN"/>
        </w:rPr>
        <w:t>停提供运维服务；</w:t>
      </w:r>
    </w:p>
    <w:p w14:paraId="62A36728">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2.如甲方在合同运维期间，存在对在线监测设备弄虚作假行为或不正常运行在线监测设备行为（弄虚作假及不正常运行行为以国家及地方法律规范和技术标准界定为准），乙方有权解除合同；</w:t>
      </w:r>
    </w:p>
    <w:p w14:paraId="75F5A9E6">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3.乙方应按技术服务指标要求进行在线设备的运营维护，甲方将在每月月初对上个月的运维工作进行考核，考核分数低于85分视为不合格，累计三个月不合格，甲方有权解除合同；</w:t>
      </w:r>
    </w:p>
    <w:p w14:paraId="44AFA531">
      <w:pPr>
        <w:spacing w:line="480" w:lineRule="exact"/>
        <w:ind w:left="0" w:leftChars="0"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4.因乙方原因（不可抗拒的客观原因除外）在线仪表出现运行事故，导致甲方被上级部门问责或约谈的，甲方有权追究乙方责任，</w:t>
      </w:r>
      <w:r>
        <w:rPr>
          <w:rFonts w:hint="eastAsia" w:ascii="仿宋" w:hAnsi="仿宋" w:eastAsia="仿宋" w:cs="仿宋"/>
          <w:sz w:val="28"/>
          <w:szCs w:val="28"/>
          <w:highlight w:val="none"/>
          <w:lang w:val="en-US" w:eastAsia="zh-CN"/>
        </w:rPr>
        <w:t>造成甲方损失，乙方应予以全额赔偿；</w:t>
      </w:r>
      <w:r>
        <w:rPr>
          <w:rFonts w:hint="eastAsia" w:ascii="仿宋" w:hAnsi="仿宋" w:eastAsia="仿宋" w:cs="仿宋"/>
          <w:sz w:val="28"/>
          <w:szCs w:val="28"/>
          <w:highlight w:val="none"/>
          <w:lang w:val="zh-CN"/>
        </w:rPr>
        <w:t>必要时</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lang w:val="zh-CN"/>
        </w:rPr>
        <w:t>可解除</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lang w:val="zh-CN"/>
        </w:rPr>
        <w:t>合同。</w:t>
      </w:r>
    </w:p>
    <w:p w14:paraId="4DD9B877">
      <w:pPr>
        <w:spacing w:line="480" w:lineRule="exac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十、合同争议解决方式</w:t>
      </w:r>
    </w:p>
    <w:p w14:paraId="359F10CB">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凡因履行本合同所发生的或与本合同有关的一切争议，双方应首先通过友好协商解决，如果协商不能解决，协商不成的通过甲方所在地法院诉讼解决。</w:t>
      </w:r>
    </w:p>
    <w:p w14:paraId="09B2E99B">
      <w:pPr>
        <w:spacing w:line="480" w:lineRule="exac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rPr>
        <w:t>十一、</w:t>
      </w:r>
      <w:r>
        <w:rPr>
          <w:rFonts w:hint="eastAsia" w:ascii="仿宋" w:hAnsi="仿宋" w:eastAsia="仿宋" w:cs="仿宋"/>
          <w:sz w:val="28"/>
          <w:szCs w:val="28"/>
          <w:highlight w:val="none"/>
          <w:lang w:val="en-US" w:eastAsia="zh-CN"/>
        </w:rPr>
        <w:t>其它</w:t>
      </w:r>
    </w:p>
    <w:p w14:paraId="1C09CEDD">
      <w:pPr>
        <w:spacing w:line="48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合同如有变更</w:t>
      </w:r>
      <w:r>
        <w:rPr>
          <w:rFonts w:hint="eastAsia" w:ascii="仿宋" w:hAnsi="仿宋" w:eastAsia="仿宋" w:cs="仿宋"/>
          <w:sz w:val="28"/>
          <w:szCs w:val="28"/>
          <w:highlight w:val="none"/>
          <w:lang w:val="en-US" w:eastAsia="zh-CN"/>
        </w:rPr>
        <w:t>或补充</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须经双方协商一致后</w:t>
      </w:r>
      <w:r>
        <w:rPr>
          <w:rFonts w:hint="eastAsia" w:ascii="仿宋" w:hAnsi="仿宋" w:eastAsia="仿宋" w:cs="仿宋"/>
          <w:sz w:val="28"/>
          <w:szCs w:val="28"/>
          <w:highlight w:val="none"/>
          <w:lang w:val="zh-CN"/>
        </w:rPr>
        <w:t>以书面形式确定；</w:t>
      </w:r>
    </w:p>
    <w:p w14:paraId="719BFE68">
      <w:pPr>
        <w:spacing w:line="48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rPr>
        <w:t>本合同自双方盖章之日起生效，合同及相关附件一式</w:t>
      </w:r>
      <w:r>
        <w:rPr>
          <w:rFonts w:hint="eastAsia" w:ascii="仿宋" w:hAnsi="仿宋" w:eastAsia="仿宋" w:cs="仿宋"/>
          <w:sz w:val="28"/>
          <w:szCs w:val="28"/>
          <w:highlight w:val="none"/>
          <w:lang w:val="en-US" w:eastAsia="zh-CN"/>
        </w:rPr>
        <w:t>陆</w:t>
      </w:r>
      <w:r>
        <w:rPr>
          <w:rFonts w:hint="eastAsia" w:ascii="仿宋" w:hAnsi="仿宋" w:eastAsia="仿宋" w:cs="仿宋"/>
          <w:sz w:val="28"/>
          <w:szCs w:val="28"/>
          <w:highlight w:val="none"/>
          <w:lang w:val="zh-CN"/>
        </w:rPr>
        <w:t>份，甲方执</w:t>
      </w:r>
      <w:r>
        <w:rPr>
          <w:rFonts w:hint="eastAsia" w:ascii="仿宋" w:hAnsi="仿宋" w:eastAsia="仿宋" w:cs="仿宋"/>
          <w:sz w:val="28"/>
          <w:szCs w:val="28"/>
          <w:highlight w:val="none"/>
          <w:lang w:val="en-US" w:eastAsia="zh-CN"/>
        </w:rPr>
        <w:t>肆</w:t>
      </w:r>
      <w:r>
        <w:rPr>
          <w:rFonts w:hint="eastAsia" w:ascii="仿宋" w:hAnsi="仿宋" w:eastAsia="仿宋" w:cs="仿宋"/>
          <w:sz w:val="28"/>
          <w:szCs w:val="28"/>
          <w:highlight w:val="none"/>
          <w:lang w:val="zh-CN"/>
        </w:rPr>
        <w:t>份、乙方执</w:t>
      </w:r>
      <w:r>
        <w:rPr>
          <w:rFonts w:hint="eastAsia" w:ascii="仿宋" w:hAnsi="仿宋" w:eastAsia="仿宋" w:cs="仿宋"/>
          <w:sz w:val="28"/>
          <w:szCs w:val="28"/>
          <w:highlight w:val="none"/>
          <w:lang w:val="en-US" w:eastAsia="zh-CN"/>
        </w:rPr>
        <w:t>贰</w:t>
      </w:r>
      <w:r>
        <w:rPr>
          <w:rFonts w:hint="eastAsia" w:ascii="仿宋" w:hAnsi="仿宋" w:eastAsia="仿宋" w:cs="仿宋"/>
          <w:sz w:val="28"/>
          <w:szCs w:val="28"/>
          <w:highlight w:val="none"/>
          <w:lang w:val="zh-CN"/>
        </w:rPr>
        <w:t>份,均具有同等法律效力。</w:t>
      </w:r>
    </w:p>
    <w:p w14:paraId="6E71B60B">
      <w:pPr>
        <w:spacing w:line="480" w:lineRule="exact"/>
        <w:rPr>
          <w:rFonts w:ascii="仿宋" w:hAnsi="仿宋" w:eastAsia="仿宋" w:cs="仿宋"/>
          <w:sz w:val="28"/>
          <w:szCs w:val="28"/>
          <w:highlight w:val="none"/>
          <w:lang w:val="zh-CN"/>
        </w:rPr>
      </w:pPr>
    </w:p>
    <w:p w14:paraId="4CA1EFCD">
      <w:pPr>
        <w:tabs>
          <w:tab w:val="left" w:pos="720"/>
        </w:tabs>
        <w:autoSpaceDE w:val="0"/>
        <w:autoSpaceDN w:val="0"/>
        <w:adjustRightInd w:val="0"/>
        <w:spacing w:line="480" w:lineRule="exac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（签署页）</w:t>
      </w:r>
    </w:p>
    <w:p w14:paraId="2E6582B6">
      <w:pPr>
        <w:tabs>
          <w:tab w:val="left" w:pos="720"/>
        </w:tabs>
        <w:autoSpaceDE w:val="0"/>
        <w:autoSpaceDN w:val="0"/>
        <w:adjustRightInd w:val="0"/>
        <w:spacing w:line="480" w:lineRule="exact"/>
        <w:rPr>
          <w:rFonts w:ascii="仿宋" w:hAnsi="仿宋" w:eastAsia="仿宋" w:cs="仿宋"/>
          <w:sz w:val="28"/>
          <w:szCs w:val="28"/>
          <w:highlight w:val="none"/>
          <w:lang w:val="zh-CN"/>
        </w:rPr>
      </w:pPr>
    </w:p>
    <w:p w14:paraId="59FE2C59">
      <w:pPr>
        <w:tabs>
          <w:tab w:val="left" w:pos="720"/>
        </w:tabs>
        <w:autoSpaceDE w:val="0"/>
        <w:autoSpaceDN w:val="0"/>
        <w:adjustRightInd w:val="0"/>
        <w:spacing w:line="480" w:lineRule="exact"/>
        <w:rPr>
          <w:rFonts w:ascii="仿宋" w:hAnsi="仿宋" w:eastAsia="仿宋" w:cs="仿宋"/>
          <w:sz w:val="28"/>
          <w:szCs w:val="28"/>
          <w:highlight w:val="none"/>
          <w:lang w:val="zh-CN"/>
        </w:rPr>
      </w:pPr>
    </w:p>
    <w:p w14:paraId="15616F2E">
      <w:pPr>
        <w:keepNext w:val="0"/>
        <w:keepLines w:val="0"/>
        <w:pageBreakBefore w:val="0"/>
        <w:widowControl w:val="0"/>
        <w:kinsoku/>
        <w:wordWrap/>
        <w:overflowPunct/>
        <w:topLinePunct w:val="0"/>
        <w:bidi w:val="0"/>
        <w:snapToGrid/>
        <w:spacing w:line="480" w:lineRule="exact"/>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甲方（签章）：                                   乙方（签章）：    </w:t>
      </w:r>
    </w:p>
    <w:p w14:paraId="7FAC8ED4">
      <w:pPr>
        <w:keepNext w:val="0"/>
        <w:keepLines w:val="0"/>
        <w:pageBreakBefore w:val="0"/>
        <w:widowControl w:val="0"/>
        <w:kinsoku/>
        <w:wordWrap/>
        <w:overflowPunct/>
        <w:topLinePunct w:val="0"/>
        <w:bidi w:val="0"/>
        <w:snapToGrid/>
        <w:spacing w:line="480" w:lineRule="exact"/>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授权代表（签字）：                            授权代表（签字）：</w:t>
      </w:r>
    </w:p>
    <w:p w14:paraId="2925A8E8">
      <w:pPr>
        <w:spacing w:after="156" w:afterLines="50" w:line="400" w:lineRule="exact"/>
        <w:ind w:firstLine="5600" w:firstLineChars="2000"/>
        <w:jc w:val="left"/>
        <w:rPr>
          <w:highlight w:val="none"/>
        </w:rPr>
      </w:pPr>
      <w:r>
        <w:rPr>
          <w:rFonts w:hint="eastAsia" w:ascii="仿宋" w:hAnsi="仿宋" w:eastAsia="仿宋" w:cs="Times New Roman"/>
          <w:color w:val="000000"/>
          <w:kern w:val="2"/>
          <w:sz w:val="28"/>
          <w:szCs w:val="28"/>
          <w:highlight w:val="none"/>
          <w:lang w:val="en-US" w:eastAsia="zh-CN" w:bidi="ar-SA"/>
        </w:rPr>
        <w:t>日期</w:t>
      </w:r>
      <w:r>
        <w:rPr>
          <w:rFonts w:hint="eastAsia" w:ascii="仿宋" w:hAnsi="仿宋" w:eastAsia="仿宋" w:cs="Times New Roman"/>
          <w:color w:val="000000"/>
          <w:kern w:val="2"/>
          <w:sz w:val="28"/>
          <w:szCs w:val="28"/>
          <w:highlight w:val="none"/>
          <w:u w:val="none"/>
          <w:lang w:val="en-US" w:eastAsia="zh-CN" w:bidi="ar-SA"/>
        </w:rPr>
        <w:t xml:space="preserve">：   </w:t>
      </w:r>
      <w:r>
        <w:rPr>
          <w:rFonts w:hint="eastAsia" w:ascii="仿宋" w:hAnsi="仿宋" w:eastAsia="仿宋" w:cs="Times New Roman"/>
          <w:color w:val="000000"/>
          <w:kern w:val="2"/>
          <w:sz w:val="28"/>
          <w:szCs w:val="28"/>
          <w:highlight w:val="none"/>
          <w:lang w:val="en-US" w:eastAsia="zh-CN" w:bidi="ar-SA"/>
        </w:rPr>
        <w:t xml:space="preserve">年    月    日                         日期： </w:t>
      </w:r>
      <w:r>
        <w:rPr>
          <w:rFonts w:hint="eastAsia" w:ascii="仿宋" w:hAnsi="仿宋" w:eastAsia="仿宋" w:cs="Times New Roman"/>
          <w:color w:val="000000"/>
          <w:kern w:val="2"/>
          <w:sz w:val="28"/>
          <w:szCs w:val="28"/>
          <w:highlight w:val="none"/>
          <w:u w:val="none"/>
          <w:lang w:val="en-US" w:eastAsia="zh-CN" w:bidi="ar-SA"/>
        </w:rPr>
        <w:t xml:space="preserve">  </w:t>
      </w:r>
      <w:r>
        <w:rPr>
          <w:rFonts w:hint="eastAsia" w:ascii="仿宋" w:hAnsi="仿宋" w:eastAsia="仿宋" w:cs="Times New Roman"/>
          <w:color w:val="000000"/>
          <w:kern w:val="2"/>
          <w:sz w:val="28"/>
          <w:szCs w:val="28"/>
          <w:highlight w:val="none"/>
          <w:lang w:val="en-US" w:eastAsia="zh-CN" w:bidi="ar-SA"/>
        </w:rPr>
        <w:t>年    月    日</w:t>
      </w:r>
      <w:r>
        <w:rPr>
          <w:rFonts w:hint="eastAsia" w:ascii="宋体" w:hAnsi="宋体" w:cs="宋体"/>
          <w:szCs w:val="21"/>
          <w:highlight w:val="none"/>
        </w:rPr>
        <w:t xml:space="preserve"> </w:t>
      </w:r>
      <w:r>
        <w:rPr>
          <w:rFonts w:hint="eastAsia" w:ascii="仿宋" w:hAnsi="仿宋" w:eastAsia="仿宋" w:cs="仿宋"/>
          <w:sz w:val="24"/>
          <w:szCs w:val="24"/>
          <w:highlight w:val="none"/>
        </w:rPr>
        <w:t xml:space="preserve"> </w:t>
      </w:r>
    </w:p>
    <w:p w14:paraId="40F8DB9A">
      <w:pPr>
        <w:spacing w:after="156" w:afterLines="50" w:line="400" w:lineRule="exact"/>
        <w:ind w:firstLine="4800" w:firstLineChars="2000"/>
        <w:jc w:val="left"/>
        <w:rPr>
          <w:rFonts w:hint="eastAsia" w:ascii="仿宋" w:hAnsi="仿宋" w:eastAsia="仿宋" w:cs="仿宋"/>
          <w:sz w:val="24"/>
          <w:szCs w:val="24"/>
          <w:highlight w:val="none"/>
        </w:rPr>
      </w:pPr>
    </w:p>
    <w:p w14:paraId="44B0436E">
      <w:pPr>
        <w:spacing w:after="0" w:afterLines="-2147483648" w:line="24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25F857E9">
      <w:pPr>
        <w:rPr>
          <w:highlight w:val="none"/>
        </w:rPr>
      </w:pPr>
    </w:p>
    <w:p w14:paraId="133C5E07">
      <w:pPr>
        <w:numPr>
          <w:ilvl w:val="0"/>
          <w:numId w:val="0"/>
        </w:numPr>
        <w:adjustRightInd w:val="0"/>
        <w:snapToGrid w:val="0"/>
        <w:spacing w:beforeLines="50" w:line="360" w:lineRule="auto"/>
        <w:jc w:val="center"/>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第四章  采购需求</w:t>
      </w:r>
      <w:bookmarkEnd w:id="29"/>
      <w:bookmarkEnd w:id="30"/>
      <w:bookmarkEnd w:id="31"/>
    </w:p>
    <w:p w14:paraId="35B8C453">
      <w:pPr>
        <w:jc w:val="center"/>
        <w:rPr>
          <w:rFonts w:ascii="黑体" w:hAnsi="黑体" w:eastAsia="黑体" w:cs="Times New Roman"/>
          <w:sz w:val="32"/>
          <w:szCs w:val="32"/>
        </w:rPr>
      </w:pPr>
      <w:bookmarkStart w:id="32" w:name="_Toc26007"/>
      <w:bookmarkStart w:id="33" w:name="_Toc28658"/>
      <w:bookmarkStart w:id="34" w:name="_Toc31208_WPSOffice_Level1"/>
      <w:r>
        <w:rPr>
          <w:rFonts w:hint="eastAsia" w:ascii="黑体" w:hAnsi="黑体" w:eastAsia="黑体" w:cs="Times New Roman"/>
          <w:sz w:val="32"/>
          <w:szCs w:val="32"/>
        </w:rPr>
        <w:t>水质净化厂进出水在线仪表运营维护方案</w:t>
      </w:r>
    </w:p>
    <w:p w14:paraId="258AE6B8">
      <w:pPr>
        <w:spacing w:line="360" w:lineRule="auto"/>
        <w:jc w:val="left"/>
        <w:rPr>
          <w:rFonts w:hint="eastAsia" w:ascii="宋体" w:hAnsi="宋体" w:eastAsia="宋体" w:cs="宋体"/>
          <w:b/>
          <w:sz w:val="21"/>
          <w:szCs w:val="21"/>
        </w:rPr>
      </w:pPr>
    </w:p>
    <w:p w14:paraId="3A2F57A3">
      <w:pPr>
        <w:spacing w:line="360" w:lineRule="auto"/>
        <w:jc w:val="left"/>
        <w:rPr>
          <w:rFonts w:hint="eastAsia" w:ascii="宋体" w:hAnsi="宋体" w:eastAsia="宋体" w:cs="宋体"/>
          <w:sz w:val="21"/>
          <w:szCs w:val="21"/>
        </w:rPr>
      </w:pPr>
      <w:r>
        <w:rPr>
          <w:rFonts w:hint="eastAsia" w:ascii="宋体" w:hAnsi="宋体" w:eastAsia="宋体" w:cs="宋体"/>
          <w:sz w:val="21"/>
          <w:szCs w:val="21"/>
        </w:rPr>
        <w:t>一、项目概况</w:t>
      </w:r>
    </w:p>
    <w:p w14:paraId="4A39C04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（一）项目名称：</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进出水在线仪表运营维护方案。</w:t>
      </w:r>
    </w:p>
    <w:p w14:paraId="68A38C99">
      <w:pPr>
        <w:widowControl w:val="0"/>
        <w:spacing w:line="360" w:lineRule="auto"/>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（二）实施目的：确保进出水在线仪表数据真实、稳定、可靠。</w:t>
      </w:r>
    </w:p>
    <w:p w14:paraId="4FEF1401">
      <w:pPr>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color w:val="000000"/>
          <w:sz w:val="21"/>
          <w:szCs w:val="21"/>
        </w:rPr>
        <w:t>（三）项目内容</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维护单位对我司下属长善垸、花桥、新开铺、雨花、暮云、新港六家水质净化厂的进出水在线仪表进行保养维护，包括进出水在线仪表、数采仪、混合采样仪器等现场端设施，确保及时</w:t>
      </w:r>
      <w:r>
        <w:rPr>
          <w:rFonts w:hint="eastAsia" w:ascii="宋体" w:hAnsi="宋体" w:eastAsia="宋体" w:cs="宋体"/>
          <w:bCs/>
          <w:sz w:val="21"/>
          <w:szCs w:val="21"/>
        </w:rPr>
        <w:t>准确的向环保平台上传在线数据，维护设备在线指标包括进水COD、氨氮、总磷、总氮，出水COD、氨氮、总磷、总氮和</w:t>
      </w:r>
      <w:r>
        <w:rPr>
          <w:rFonts w:hint="eastAsia" w:ascii="宋体" w:hAnsi="宋体" w:eastAsia="宋体" w:cs="宋体"/>
          <w:bCs/>
          <w:sz w:val="21"/>
          <w:szCs w:val="21"/>
          <w:lang w:val="en-US" w:eastAsia="zh-CN"/>
        </w:rPr>
        <w:t>p</w:t>
      </w:r>
      <w:r>
        <w:rPr>
          <w:rFonts w:hint="eastAsia" w:ascii="宋体" w:hAnsi="宋体" w:eastAsia="宋体" w:cs="宋体"/>
          <w:bCs/>
          <w:sz w:val="21"/>
          <w:szCs w:val="21"/>
        </w:rPr>
        <w:t>H。</w:t>
      </w:r>
    </w:p>
    <w:p w14:paraId="13113F8B">
      <w:pPr>
        <w:spacing w:line="360" w:lineRule="auto"/>
        <w:jc w:val="left"/>
        <w:rPr>
          <w:rFonts w:hint="eastAsia" w:ascii="宋体" w:hAnsi="宋体" w:eastAsia="宋体" w:cs="宋体"/>
          <w:sz w:val="21"/>
          <w:szCs w:val="21"/>
        </w:rPr>
      </w:pPr>
      <w:r>
        <w:rPr>
          <w:rFonts w:hint="eastAsia" w:ascii="宋体" w:hAnsi="宋体" w:eastAsia="宋体" w:cs="宋体"/>
          <w:sz w:val="21"/>
          <w:szCs w:val="21"/>
        </w:rPr>
        <w:t>二、运维方案</w:t>
      </w:r>
    </w:p>
    <w:p w14:paraId="1F74E459">
      <w:pPr>
        <w:widowControl w:val="0"/>
        <w:spacing w:line="360" w:lineRule="auto"/>
        <w:ind w:firstLine="0" w:firstLineChars="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（一）进出水在线仪表运维内容：</w:t>
      </w:r>
    </w:p>
    <w:p w14:paraId="436B0E93">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1.远程监控诊断服务（1次/日)，检查数据传输系统是否正常，发现数据有持续异常情况，立即前往站点进行检查。</w:t>
      </w:r>
    </w:p>
    <w:p w14:paraId="1BB52492">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2.定期巡检服</w:t>
      </w:r>
      <w:r>
        <w:rPr>
          <w:rFonts w:hint="eastAsia" w:ascii="宋体" w:hAnsi="宋体" w:eastAsia="宋体" w:cs="宋体"/>
          <w:kern w:val="0"/>
          <w:sz w:val="21"/>
          <w:szCs w:val="21"/>
          <w:lang w:val="en-US" w:eastAsia="zh-CN" w:bidi="ar-SA"/>
        </w:rPr>
        <w:t>务（1次/周），巡检内</w:t>
      </w:r>
      <w:r>
        <w:rPr>
          <w:rFonts w:hint="eastAsia" w:ascii="宋体" w:hAnsi="宋体" w:eastAsia="宋体" w:cs="宋体"/>
          <w:color w:val="000000"/>
          <w:kern w:val="0"/>
          <w:sz w:val="21"/>
          <w:szCs w:val="21"/>
          <w:lang w:val="en-US" w:eastAsia="zh-CN" w:bidi="ar-SA"/>
        </w:rPr>
        <w:t>容：a、检查设备及辅助设备运行状态、主要技术参数判断是否正常；b、检查取样系统、内部管路是否清洁通畅；c、检查站房电路、通讯系统是否正常；d、对于用电极法测量的设备，检查标液和电极填充液，进行电极清洗；e、检查设备标准液、试剂有效期和余量，及时更换和添加；f、对于没有自动调零、校正功能的设备进行手动调零、校正；g、检查数据传输系统，看设备和数采仪、上位机是否一致；h、站房环境清洁，各类辅助设备检查，保证设备所需的温度、湿度等正常运行环境。</w:t>
      </w:r>
    </w:p>
    <w:p w14:paraId="0860B68D">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定期维护服务（1次/月），维护内容：a、清洗取样系统管路、内部管路、各类探头；b、清洗设备计量单元、反应单元、加热单元、检测单元；c、检查各类设备转换系统、曲线是否适用，必要时进行修正；d、对数据存储、控制系统运行状态进行检查；e、在现场进行一次实际样品和质控样检验，检验结果应符合验收规范指标；f、检查设备接地情况、站房防雷措施。</w:t>
      </w:r>
    </w:p>
    <w:p w14:paraId="55BCB121">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 定期维护服务（1次/季），维护内容：a、检查各类电磁阀、泵、电极、探头工作状态，必要时进行更换；b、检查各类活塞、密封圈、内部导管、连接头工作状态，必要时进行更换；c、检查设备其他常用易耗品工作状态，进行定期更换；d、设备校正，在现场进行实际样品和质控样检验，检验结果应符合验收规范指标；e、检查数据存储、通讯系统工作状态，做好数据备份，保证数据不丢失。</w:t>
      </w:r>
    </w:p>
    <w:p w14:paraId="4BD6F9AB">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 整体维护（1次/年），维护内容：a、整体系统进行全面检查、维护，如需停用检查的，需事先报环保部门批准；b、配合甲方，接受有资质的检测机构进行抽检及校验。</w:t>
      </w:r>
    </w:p>
    <w:p w14:paraId="2AE7AF04">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 设备故障维护服务：a、设备发生故障或接到故障通知，2小时内响应，12小时内赶到现场进行处理；b、对于不易诊断和维护的设备故障，如72小时内无法排除，应及时上报环保部门备案；c、设备进行维护后，使用和运行前按国家有关技术规定进行校准检查，如设备进行了更换，在使用和运行前对设备进行校验和比对实验，其结果符合验收规范指标。</w:t>
      </w:r>
    </w:p>
    <w:p w14:paraId="5E219492">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7.需备份的相关技术记录： a、设备校准、实际样品比对、质控样试验的例行记录；b、设备运行报告、定期巡检、维护保养记录；c、设备维护、易耗品的定期更换记录；d、检测机构的检定或检验记录。</w:t>
      </w:r>
    </w:p>
    <w:p w14:paraId="52D06DDC">
      <w:pPr>
        <w:widowControl w:val="0"/>
        <w:spacing w:line="360" w:lineRule="auto"/>
        <w:ind w:firstLine="0"/>
        <w:jc w:val="both"/>
        <w:rPr>
          <w:rFonts w:hint="eastAsia" w:ascii="宋体" w:hAnsi="宋体" w:eastAsia="宋体" w:cs="宋体"/>
          <w:kern w:val="1"/>
          <w:sz w:val="21"/>
          <w:szCs w:val="21"/>
          <w:lang w:val="en-US" w:eastAsia="zh-CN" w:bidi="ar-SA"/>
        </w:rPr>
      </w:pPr>
      <w:r>
        <w:rPr>
          <w:rFonts w:hint="eastAsia" w:ascii="宋体" w:hAnsi="宋体" w:eastAsia="宋体" w:cs="宋体"/>
          <w:kern w:val="1"/>
          <w:sz w:val="21"/>
          <w:szCs w:val="21"/>
          <w:lang w:val="en-US" w:eastAsia="zh-CN" w:bidi="ar-SA"/>
        </w:rPr>
        <w:t>（二）本次运维具体要求如下：</w:t>
      </w:r>
    </w:p>
    <w:p w14:paraId="6A1B7BCF">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1、必须严格按甲方要求，对厂区的进出水在线仪表进行维护保养，确保在线仪表数据真实、可靠、稳定；对于非水质原因导致的异常数据，协助厂部出具相关情况说明澄清文件。</w:t>
      </w:r>
    </w:p>
    <w:p w14:paraId="5A8BBEE8">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2、必须制定厂区详细的维护保养方案，并在该厂部备案。</w:t>
      </w:r>
    </w:p>
    <w:p w14:paraId="1B2155F2">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3、发现故障须在2小时内进行响应，12小时内到达现场，并找到解决问题的方案。如遇到仪表问题需更换备件，由运维方负责提供，并在72小时内恢复仪表正常运行，配件费用由甲方支付；如不需更换备件的，要求在到达现场后2小时内恢复仪表正常运行。如遇特殊情况，需向我公司提交书面申请。   </w:t>
      </w:r>
    </w:p>
    <w:p w14:paraId="54F1C89E">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4、每次维保的内容需厂部验收后签字确认，并做好巡查记录。</w:t>
      </w:r>
    </w:p>
    <w:p w14:paraId="45F5156E">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5、每个季度提供一份维护保养报告，并提出合理化建议和相关注意事项。</w:t>
      </w:r>
    </w:p>
    <w:p w14:paraId="39FFF6FE">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6、为厂区的相关运行人员进行一次到两次的免费培训。</w:t>
      </w:r>
    </w:p>
    <w:p w14:paraId="26CCAB47">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7、遇到上级检查时，需协助厂部提供相关服务。</w:t>
      </w:r>
    </w:p>
    <w:p w14:paraId="793A6E62">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8、进出水在线仪表运维过程中需使用的所有试剂均由运维单位免费提供。</w:t>
      </w:r>
    </w:p>
    <w:p w14:paraId="4A19D939">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9、维护保养方所提供的备件500元以下</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含500元</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由运维单位免费提供。</w:t>
      </w:r>
    </w:p>
    <w:p w14:paraId="6E7BAC31">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10、维护保养方提供的备件质量要好，最好是仪表的原件，如是替代品的必须完全满足使用方需求，如因使用替代品造成仪表损坏的由维护保养方负全部责任。</w:t>
      </w:r>
    </w:p>
    <w:p w14:paraId="2345D9D4">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11、运维人员要求：运行人员应具备相关专业知识，通过相应的培训教育和能力确认/考核等活动。</w:t>
      </w:r>
    </w:p>
    <w:p w14:paraId="73B01CE8">
      <w:pPr>
        <w:widowControl w:val="0"/>
        <w:spacing w:line="360" w:lineRule="auto"/>
        <w:ind w:firstLine="420" w:firstLineChars="200"/>
        <w:jc w:val="both"/>
        <w:rPr>
          <w:rFonts w:hint="eastAsia" w:ascii="宋体" w:hAnsi="宋体" w:eastAsia="宋体" w:cs="宋体"/>
          <w:color w:val="2E2E2E"/>
          <w:kern w:val="0"/>
          <w:sz w:val="21"/>
          <w:szCs w:val="21"/>
          <w:lang w:val="en-US" w:eastAsia="zh-CN" w:bidi="ar-SA"/>
        </w:rPr>
      </w:pPr>
      <w:r>
        <w:rPr>
          <w:rFonts w:hint="eastAsia" w:ascii="宋体" w:hAnsi="宋体" w:eastAsia="宋体" w:cs="宋体"/>
          <w:color w:val="000000"/>
          <w:kern w:val="0"/>
          <w:sz w:val="21"/>
          <w:szCs w:val="21"/>
          <w:lang w:val="en-US" w:eastAsia="zh-CN" w:bidi="ar-SA"/>
        </w:rPr>
        <w:t>12、运维单位要求：（1）运维单位应具备与监测任务相适应的技术人员、仪器设备和实验室环境，明确监测人员和管理人员的职责、权限和相互关系，有适当的措施和程序保证监测结果准确可靠。应备有所运维在线监测仪器的备用仪器，同时应配备相应仪器参比方法实际水样比对试验装置。</w:t>
      </w:r>
    </w:p>
    <w:p w14:paraId="4CBD19AF">
      <w:pPr>
        <w:numPr>
          <w:ilvl w:val="0"/>
          <w:numId w:val="2"/>
        </w:numPr>
        <w:spacing w:beforeLines="50" w:line="360" w:lineRule="auto"/>
        <w:ind w:left="0" w:firstLine="0"/>
        <w:jc w:val="left"/>
        <w:rPr>
          <w:rFonts w:hint="eastAsia" w:ascii="宋体" w:hAnsi="宋体" w:eastAsia="宋体" w:cs="宋体"/>
          <w:sz w:val="21"/>
          <w:szCs w:val="21"/>
        </w:rPr>
      </w:pPr>
      <w:r>
        <w:rPr>
          <w:rFonts w:hint="eastAsia" w:ascii="宋体" w:hAnsi="宋体" w:eastAsia="宋体" w:cs="宋体"/>
          <w:sz w:val="21"/>
          <w:szCs w:val="21"/>
        </w:rPr>
        <w:t>计划实施周期及维护说明</w:t>
      </w:r>
    </w:p>
    <w:p w14:paraId="6B7D9C90">
      <w:pPr>
        <w:spacing w:line="360" w:lineRule="auto"/>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1、维护周期：项目总工期为1年。</w:t>
      </w:r>
    </w:p>
    <w:p w14:paraId="5964E657">
      <w:pPr>
        <w:autoSpaceDE w:val="0"/>
        <w:autoSpaceDN w:val="0"/>
        <w:adjustRightInd w:val="0"/>
        <w:spacing w:line="360" w:lineRule="auto"/>
        <w:ind w:firstLine="420" w:firstLineChars="200"/>
        <w:rPr>
          <w:rFonts w:hint="eastAsia" w:ascii="宋体" w:hAnsi="宋体" w:eastAsia="宋体" w:cs="宋体"/>
          <w:color w:val="000000"/>
          <w:kern w:val="0"/>
          <w:sz w:val="21"/>
          <w:szCs w:val="21"/>
          <w:lang w:val="zh-CN"/>
        </w:rPr>
      </w:pPr>
      <w:r>
        <w:rPr>
          <w:rFonts w:hint="eastAsia" w:ascii="宋体" w:hAnsi="宋体" w:eastAsia="宋体" w:cs="宋体"/>
          <w:bCs/>
          <w:color w:val="000000"/>
          <w:sz w:val="21"/>
          <w:szCs w:val="21"/>
        </w:rPr>
        <w:t>2、维护说明：根据长沙市生态环境局及排污许可证关于进出水在线仪表的运维要求，长沙市排水有限责任公司下属长善垸、花桥、新开铺、暮云、雨花、新港六家水质</w:t>
      </w:r>
      <w:r>
        <w:rPr>
          <w:rFonts w:hint="eastAsia" w:ascii="宋体" w:hAnsi="宋体" w:eastAsia="宋体" w:cs="宋体"/>
          <w:color w:val="000000"/>
          <w:kern w:val="0"/>
          <w:sz w:val="21"/>
          <w:szCs w:val="21"/>
        </w:rPr>
        <w:t>净化厂的进出水在线仪表需及时准确的向环保平台上传在线数据，维护设备在线指标包括进水COD、氨氮、总磷、总氮，出水COD、氨氮、总磷、总氮和</w:t>
      </w:r>
      <w:r>
        <w:rPr>
          <w:rFonts w:hint="eastAsia" w:ascii="宋体" w:hAnsi="宋体" w:eastAsia="宋体" w:cs="宋体"/>
          <w:color w:val="000000"/>
          <w:kern w:val="0"/>
          <w:sz w:val="21"/>
          <w:szCs w:val="21"/>
          <w:lang w:val="en-US" w:eastAsia="zh-CN"/>
        </w:rPr>
        <w:t>p</w:t>
      </w:r>
      <w:r>
        <w:rPr>
          <w:rFonts w:hint="eastAsia" w:ascii="宋体" w:hAnsi="宋体" w:eastAsia="宋体" w:cs="宋体"/>
          <w:color w:val="000000"/>
          <w:kern w:val="0"/>
          <w:sz w:val="21"/>
          <w:szCs w:val="21"/>
        </w:rPr>
        <w:t>H。</w:t>
      </w:r>
    </w:p>
    <w:p w14:paraId="47E1E5EB">
      <w:pPr>
        <w:widowControl w:val="0"/>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为保证在线设备的正常运行，按时按质的向环保平台上传监测数据。我公司计划委托第三方运维单位对上述六厂的在线仪表进行运营维护，运维内容包括进出水在线仪表、</w:t>
      </w:r>
      <w:r>
        <w:rPr>
          <w:rFonts w:hint="eastAsia" w:ascii="宋体" w:hAnsi="宋体" w:eastAsia="宋体" w:cs="宋体"/>
          <w:color w:val="000000"/>
          <w:kern w:val="2"/>
          <w:sz w:val="21"/>
          <w:szCs w:val="21"/>
          <w:lang w:val="zh-CN" w:eastAsia="zh-CN" w:bidi="ar-SA"/>
        </w:rPr>
        <w:t>数采仪和混合采样仪等现场端设施，</w:t>
      </w:r>
      <w:r>
        <w:rPr>
          <w:rFonts w:hint="eastAsia" w:ascii="宋体" w:hAnsi="宋体" w:eastAsia="宋体" w:cs="宋体"/>
          <w:color w:val="000000"/>
          <w:kern w:val="0"/>
          <w:sz w:val="21"/>
          <w:szCs w:val="21"/>
          <w:lang w:val="en-US" w:eastAsia="zh-CN" w:bidi="ar-SA"/>
        </w:rPr>
        <w:t>拟定运维时间为2025年11月12日至2026年11月11日。为保障运维质量，建议在招标过程中，结合运维单位资质、经验，实力和报价综合考虑评分，最终确定运维单位。</w:t>
      </w:r>
    </w:p>
    <w:p w14:paraId="1A10D0E4">
      <w:pPr>
        <w:spacing w:line="360" w:lineRule="auto"/>
        <w:jc w:val="left"/>
        <w:rPr>
          <w:rFonts w:hint="eastAsia" w:ascii="宋体" w:hAnsi="宋体" w:eastAsia="宋体" w:cs="宋体"/>
          <w:sz w:val="21"/>
          <w:szCs w:val="21"/>
        </w:rPr>
      </w:pPr>
      <w:r>
        <w:rPr>
          <w:rFonts w:hint="eastAsia" w:ascii="宋体" w:hAnsi="宋体" w:eastAsia="宋体" w:cs="宋体"/>
          <w:sz w:val="21"/>
          <w:szCs w:val="21"/>
        </w:rPr>
        <w:t>四、安全生产、文明施工目标及保证措施</w:t>
      </w:r>
    </w:p>
    <w:p w14:paraId="51B1E3BA">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1、建立安全文明保证体系，制定各级安全生产责任制，全面监督指导。全体职工自觉遵守</w:t>
      </w:r>
      <w:r>
        <w:rPr>
          <w:rFonts w:hint="eastAsia" w:ascii="宋体" w:hAnsi="宋体" w:eastAsia="宋体" w:cs="宋体"/>
          <w:sz w:val="21"/>
          <w:szCs w:val="21"/>
          <w:lang w:eastAsia="zh-CN"/>
        </w:rPr>
        <w:t>相</w:t>
      </w:r>
      <w:r>
        <w:rPr>
          <w:rFonts w:hint="eastAsia" w:ascii="宋体" w:hAnsi="宋体" w:eastAsia="宋体" w:cs="宋体"/>
          <w:sz w:val="21"/>
          <w:szCs w:val="21"/>
        </w:rPr>
        <w:t>关规定，将安全生产文明施工措施落实到人。</w:t>
      </w:r>
    </w:p>
    <w:p w14:paraId="63F2A280">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2、加强安全文明施工的教育，凡进入施工现场参加施工的工人一律进行“三级”安全教育规程及文明施工的规定，每天召开安全生产班前会，严格遵守各项规章制度，避免事故发生。</w:t>
      </w:r>
    </w:p>
    <w:p w14:paraId="72E1E386">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3、工人进场前，应做好质量、安全交底，上岗时，必须统一穿戴劳保服装，严格佩戴好施工证、安全帽、安全绳，严禁穿拖鞋、赤脚或穿硬底鞋作业，严禁酒后作业。</w:t>
      </w:r>
    </w:p>
    <w:p w14:paraId="5977F556">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4、应在施工区域设置明显标志，对于时间较长的集中性施工项目要做到封闭处理，施工人员应在施工区域内活动，不得随意进入非施工区域。</w:t>
      </w:r>
    </w:p>
    <w:p w14:paraId="2D850AE1">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5、施工队伍的安全防护器材（包括登高作业）必须配置到位，安全措施得力，否则将不得开工作业。</w:t>
      </w:r>
    </w:p>
    <w:p w14:paraId="3F1DD6D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6、施工过程中如需使用水、电、等，需要由专业人员操作接水、电等事宜，</w:t>
      </w:r>
      <w:r>
        <w:rPr>
          <w:rFonts w:hint="eastAsia" w:ascii="宋体" w:hAnsi="宋体" w:eastAsia="宋体" w:cs="宋体"/>
          <w:sz w:val="21"/>
          <w:szCs w:val="21"/>
          <w:lang w:eastAsia="zh-CN"/>
        </w:rPr>
        <w:t>电气</w:t>
      </w:r>
      <w:r>
        <w:rPr>
          <w:rFonts w:hint="eastAsia" w:ascii="宋体" w:hAnsi="宋体" w:eastAsia="宋体" w:cs="宋体"/>
          <w:sz w:val="21"/>
          <w:szCs w:val="21"/>
        </w:rPr>
        <w:t>线路和管道连接规范，确保施工安全。</w:t>
      </w:r>
    </w:p>
    <w:p w14:paraId="0D2CF0D2">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7、施工过程中需动火作业（或容易产生火花、高温），需根据动火级别，经批准并确认达到动火条件、落实安全防范措施后方可进行动火作业。</w:t>
      </w:r>
    </w:p>
    <w:p w14:paraId="30E8D479">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8、严格执行有限空间作业规范要求，办理工作票、有限空间作业审批等手续。</w:t>
      </w:r>
    </w:p>
    <w:p w14:paraId="6CD51105">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sz w:val="21"/>
          <w:szCs w:val="21"/>
        </w:rPr>
        <w:t>9、各技术工种要求持证上岗，杜绝无证、违章作业。</w:t>
      </w:r>
    </w:p>
    <w:p w14:paraId="34A2A262">
      <w:pPr>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br w:type="page"/>
      </w:r>
    </w:p>
    <w:p w14:paraId="7C1FB166">
      <w:pPr>
        <w:widowControl w:val="0"/>
        <w:ind w:firstLine="0" w:firstLineChars="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附件1：各厂进出水在线仪表明细</w:t>
      </w:r>
    </w:p>
    <w:tbl>
      <w:tblPr>
        <w:tblStyle w:val="44"/>
        <w:tblW w:w="7740"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45"/>
        <w:gridCol w:w="1005"/>
        <w:gridCol w:w="1395"/>
        <w:gridCol w:w="1830"/>
        <w:gridCol w:w="1605"/>
      </w:tblGrid>
      <w:tr w14:paraId="3D3F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Align w:val="center"/>
          </w:tcPr>
          <w:p w14:paraId="791D96D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厂名</w:t>
            </w:r>
          </w:p>
        </w:tc>
        <w:tc>
          <w:tcPr>
            <w:tcW w:w="945" w:type="dxa"/>
            <w:vAlign w:val="center"/>
          </w:tcPr>
          <w:p w14:paraId="78E0533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仪表名称</w:t>
            </w:r>
          </w:p>
        </w:tc>
        <w:tc>
          <w:tcPr>
            <w:tcW w:w="1005" w:type="dxa"/>
            <w:vAlign w:val="center"/>
          </w:tcPr>
          <w:p w14:paraId="684D888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安装位置</w:t>
            </w:r>
          </w:p>
        </w:tc>
        <w:tc>
          <w:tcPr>
            <w:tcW w:w="1395" w:type="dxa"/>
            <w:vAlign w:val="center"/>
          </w:tcPr>
          <w:p w14:paraId="390C1BD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厂家品牌</w:t>
            </w:r>
          </w:p>
        </w:tc>
        <w:tc>
          <w:tcPr>
            <w:tcW w:w="1830" w:type="dxa"/>
            <w:vAlign w:val="center"/>
          </w:tcPr>
          <w:p w14:paraId="728AB01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数量（台）</w:t>
            </w:r>
          </w:p>
        </w:tc>
        <w:tc>
          <w:tcPr>
            <w:tcW w:w="1605" w:type="dxa"/>
            <w:vAlign w:val="center"/>
          </w:tcPr>
          <w:p w14:paraId="4AAF2E8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备注</w:t>
            </w:r>
          </w:p>
        </w:tc>
      </w:tr>
      <w:tr w14:paraId="3D3D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restart"/>
            <w:vAlign w:val="center"/>
          </w:tcPr>
          <w:p w14:paraId="577C908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长善</w:t>
            </w:r>
          </w:p>
          <w:p w14:paraId="1829F50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垸水</w:t>
            </w:r>
          </w:p>
          <w:p w14:paraId="0885F45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质净</w:t>
            </w:r>
          </w:p>
          <w:p w14:paraId="3E935BD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化厂</w:t>
            </w:r>
          </w:p>
        </w:tc>
        <w:tc>
          <w:tcPr>
            <w:tcW w:w="945" w:type="dxa"/>
            <w:tcBorders>
              <w:top w:val="single" w:color="auto" w:sz="4" w:space="0"/>
              <w:left w:val="single" w:color="auto" w:sz="4" w:space="0"/>
              <w:bottom w:val="single" w:color="auto" w:sz="4" w:space="0"/>
              <w:right w:val="single" w:color="auto" w:sz="4" w:space="0"/>
            </w:tcBorders>
            <w:vAlign w:val="center"/>
          </w:tcPr>
          <w:p w14:paraId="0C79259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TP</w:t>
            </w:r>
          </w:p>
        </w:tc>
        <w:tc>
          <w:tcPr>
            <w:tcW w:w="1005" w:type="dxa"/>
            <w:tcBorders>
              <w:top w:val="single" w:color="auto" w:sz="4" w:space="0"/>
              <w:left w:val="single" w:color="auto" w:sz="4" w:space="0"/>
              <w:bottom w:val="single" w:color="auto" w:sz="4" w:space="0"/>
              <w:right w:val="single" w:color="auto" w:sz="4" w:space="0"/>
            </w:tcBorders>
            <w:vAlign w:val="center"/>
          </w:tcPr>
          <w:p w14:paraId="36E64CE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73BB3F3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泽天科技</w:t>
            </w:r>
          </w:p>
        </w:tc>
        <w:tc>
          <w:tcPr>
            <w:tcW w:w="1830" w:type="dxa"/>
            <w:tcBorders>
              <w:top w:val="single" w:color="auto" w:sz="4" w:space="0"/>
              <w:left w:val="single" w:color="auto" w:sz="4" w:space="0"/>
              <w:bottom w:val="single" w:color="auto" w:sz="4" w:space="0"/>
              <w:right w:val="single" w:color="auto" w:sz="4" w:space="0"/>
            </w:tcBorders>
            <w:vAlign w:val="center"/>
          </w:tcPr>
          <w:p w14:paraId="62E8986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3DD8F34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63AB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407A412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549E7B8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TN</w:t>
            </w:r>
          </w:p>
        </w:tc>
        <w:tc>
          <w:tcPr>
            <w:tcW w:w="1005" w:type="dxa"/>
            <w:tcBorders>
              <w:top w:val="single" w:color="auto" w:sz="4" w:space="0"/>
              <w:left w:val="single" w:color="auto" w:sz="4" w:space="0"/>
              <w:bottom w:val="single" w:color="auto" w:sz="4" w:space="0"/>
              <w:right w:val="single" w:color="auto" w:sz="4" w:space="0"/>
            </w:tcBorders>
            <w:vAlign w:val="center"/>
          </w:tcPr>
          <w:p w14:paraId="48C2EA2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4700D4F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泽天科技</w:t>
            </w:r>
          </w:p>
        </w:tc>
        <w:tc>
          <w:tcPr>
            <w:tcW w:w="1830" w:type="dxa"/>
            <w:tcBorders>
              <w:top w:val="single" w:color="auto" w:sz="4" w:space="0"/>
              <w:left w:val="single" w:color="auto" w:sz="4" w:space="0"/>
              <w:bottom w:val="single" w:color="auto" w:sz="4" w:space="0"/>
              <w:right w:val="single" w:color="auto" w:sz="4" w:space="0"/>
            </w:tcBorders>
            <w:vAlign w:val="center"/>
          </w:tcPr>
          <w:p w14:paraId="762948E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43A0BFB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1CCB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324D23B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2181606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COD</w:t>
            </w:r>
          </w:p>
        </w:tc>
        <w:tc>
          <w:tcPr>
            <w:tcW w:w="1005" w:type="dxa"/>
            <w:tcBorders>
              <w:top w:val="single" w:color="auto" w:sz="4" w:space="0"/>
              <w:left w:val="single" w:color="auto" w:sz="4" w:space="0"/>
              <w:bottom w:val="single" w:color="auto" w:sz="4" w:space="0"/>
              <w:right w:val="single" w:color="auto" w:sz="4" w:space="0"/>
            </w:tcBorders>
            <w:vAlign w:val="center"/>
          </w:tcPr>
          <w:p w14:paraId="5963700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799EB4F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26BA7B0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6202325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474C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53D2C7B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630F595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NH3-N</w:t>
            </w:r>
          </w:p>
        </w:tc>
        <w:tc>
          <w:tcPr>
            <w:tcW w:w="1005" w:type="dxa"/>
            <w:tcBorders>
              <w:top w:val="single" w:color="auto" w:sz="4" w:space="0"/>
              <w:left w:val="single" w:color="auto" w:sz="4" w:space="0"/>
              <w:bottom w:val="single" w:color="auto" w:sz="4" w:space="0"/>
              <w:right w:val="single" w:color="auto" w:sz="4" w:space="0"/>
            </w:tcBorders>
            <w:vAlign w:val="center"/>
          </w:tcPr>
          <w:p w14:paraId="42601D6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167A646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深圳朗石</w:t>
            </w:r>
          </w:p>
        </w:tc>
        <w:tc>
          <w:tcPr>
            <w:tcW w:w="1830" w:type="dxa"/>
            <w:tcBorders>
              <w:top w:val="single" w:color="auto" w:sz="4" w:space="0"/>
              <w:left w:val="single" w:color="auto" w:sz="4" w:space="0"/>
              <w:bottom w:val="single" w:color="auto" w:sz="4" w:space="0"/>
              <w:right w:val="single" w:color="auto" w:sz="4" w:space="0"/>
            </w:tcBorders>
            <w:vAlign w:val="center"/>
          </w:tcPr>
          <w:p w14:paraId="111336F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118A3D8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46CE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2EF59B5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277D0A3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数采仪</w:t>
            </w:r>
          </w:p>
        </w:tc>
        <w:tc>
          <w:tcPr>
            <w:tcW w:w="1005" w:type="dxa"/>
            <w:tcBorders>
              <w:top w:val="single" w:color="auto" w:sz="4" w:space="0"/>
              <w:left w:val="single" w:color="auto" w:sz="4" w:space="0"/>
              <w:bottom w:val="single" w:color="auto" w:sz="4" w:space="0"/>
              <w:right w:val="single" w:color="auto" w:sz="4" w:space="0"/>
            </w:tcBorders>
            <w:vAlign w:val="center"/>
          </w:tcPr>
          <w:p w14:paraId="2A42481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5C34A06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万维盈创</w:t>
            </w:r>
          </w:p>
        </w:tc>
        <w:tc>
          <w:tcPr>
            <w:tcW w:w="1830" w:type="dxa"/>
            <w:tcBorders>
              <w:top w:val="single" w:color="auto" w:sz="4" w:space="0"/>
              <w:left w:val="single" w:color="auto" w:sz="4" w:space="0"/>
              <w:bottom w:val="single" w:color="auto" w:sz="4" w:space="0"/>
              <w:right w:val="single" w:color="auto" w:sz="4" w:space="0"/>
            </w:tcBorders>
            <w:vAlign w:val="center"/>
          </w:tcPr>
          <w:p w14:paraId="08DCE4D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605" w:type="dxa"/>
            <w:tcBorders>
              <w:top w:val="single" w:color="auto" w:sz="4" w:space="0"/>
              <w:left w:val="single" w:color="auto" w:sz="4" w:space="0"/>
              <w:bottom w:val="single" w:color="auto" w:sz="4" w:space="0"/>
              <w:right w:val="single" w:color="auto" w:sz="4" w:space="0"/>
            </w:tcBorders>
            <w:vAlign w:val="center"/>
          </w:tcPr>
          <w:p w14:paraId="0724DF6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0372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34B5C19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5813B4F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混采仪</w:t>
            </w:r>
          </w:p>
        </w:tc>
        <w:tc>
          <w:tcPr>
            <w:tcW w:w="1005" w:type="dxa"/>
            <w:tcBorders>
              <w:top w:val="single" w:color="auto" w:sz="4" w:space="0"/>
              <w:left w:val="single" w:color="auto" w:sz="4" w:space="0"/>
              <w:bottom w:val="single" w:color="auto" w:sz="4" w:space="0"/>
              <w:right w:val="single" w:color="auto" w:sz="4" w:space="0"/>
            </w:tcBorders>
            <w:vAlign w:val="center"/>
          </w:tcPr>
          <w:p w14:paraId="37C6817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65ECBB3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格雷斯普</w:t>
            </w:r>
          </w:p>
        </w:tc>
        <w:tc>
          <w:tcPr>
            <w:tcW w:w="1830" w:type="dxa"/>
            <w:tcBorders>
              <w:top w:val="single" w:color="auto" w:sz="4" w:space="0"/>
              <w:left w:val="single" w:color="auto" w:sz="4" w:space="0"/>
              <w:bottom w:val="single" w:color="auto" w:sz="4" w:space="0"/>
              <w:right w:val="single" w:color="auto" w:sz="4" w:space="0"/>
            </w:tcBorders>
            <w:vAlign w:val="center"/>
          </w:tcPr>
          <w:p w14:paraId="2E906A1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605" w:type="dxa"/>
            <w:tcBorders>
              <w:top w:val="single" w:color="auto" w:sz="4" w:space="0"/>
              <w:left w:val="single" w:color="auto" w:sz="4" w:space="0"/>
              <w:bottom w:val="single" w:color="auto" w:sz="4" w:space="0"/>
              <w:right w:val="single" w:color="auto" w:sz="4" w:space="0"/>
            </w:tcBorders>
            <w:vAlign w:val="center"/>
          </w:tcPr>
          <w:p w14:paraId="665922F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2FF9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77585B4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3BA8178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TP</w:t>
            </w:r>
          </w:p>
        </w:tc>
        <w:tc>
          <w:tcPr>
            <w:tcW w:w="1005" w:type="dxa"/>
            <w:tcBorders>
              <w:top w:val="single" w:color="auto" w:sz="4" w:space="0"/>
              <w:left w:val="single" w:color="auto" w:sz="4" w:space="0"/>
              <w:bottom w:val="single" w:color="auto" w:sz="4" w:space="0"/>
              <w:right w:val="single" w:color="auto" w:sz="4" w:space="0"/>
            </w:tcBorders>
            <w:vAlign w:val="center"/>
          </w:tcPr>
          <w:p w14:paraId="35D1620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01B65A7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67961D5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405D268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0975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0F1D3B6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1987016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TN</w:t>
            </w:r>
          </w:p>
        </w:tc>
        <w:tc>
          <w:tcPr>
            <w:tcW w:w="1005" w:type="dxa"/>
            <w:tcBorders>
              <w:top w:val="single" w:color="auto" w:sz="4" w:space="0"/>
              <w:left w:val="single" w:color="auto" w:sz="4" w:space="0"/>
              <w:bottom w:val="single" w:color="auto" w:sz="4" w:space="0"/>
              <w:right w:val="single" w:color="auto" w:sz="4" w:space="0"/>
            </w:tcBorders>
            <w:vAlign w:val="center"/>
          </w:tcPr>
          <w:p w14:paraId="582A80D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123187B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495EDD4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449963B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592C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5568C48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0FCBEE4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COD</w:t>
            </w:r>
          </w:p>
        </w:tc>
        <w:tc>
          <w:tcPr>
            <w:tcW w:w="1005" w:type="dxa"/>
            <w:tcBorders>
              <w:top w:val="single" w:color="auto" w:sz="4" w:space="0"/>
              <w:left w:val="single" w:color="auto" w:sz="4" w:space="0"/>
              <w:bottom w:val="single" w:color="auto" w:sz="4" w:space="0"/>
              <w:right w:val="single" w:color="auto" w:sz="4" w:space="0"/>
            </w:tcBorders>
            <w:vAlign w:val="center"/>
          </w:tcPr>
          <w:p w14:paraId="77AB273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684F658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0F07301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5950498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7259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3F381F2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6D16A43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NH3-N</w:t>
            </w:r>
          </w:p>
        </w:tc>
        <w:tc>
          <w:tcPr>
            <w:tcW w:w="1005" w:type="dxa"/>
            <w:tcBorders>
              <w:top w:val="single" w:color="auto" w:sz="4" w:space="0"/>
              <w:left w:val="single" w:color="auto" w:sz="4" w:space="0"/>
              <w:bottom w:val="single" w:color="auto" w:sz="4" w:space="0"/>
              <w:right w:val="single" w:color="auto" w:sz="4" w:space="0"/>
            </w:tcBorders>
            <w:vAlign w:val="center"/>
          </w:tcPr>
          <w:p w14:paraId="0BA2A22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18BF9F9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5E127E2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75CF555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7F0A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666E880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360DE15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2E2E2E"/>
                <w:kern w:val="0"/>
                <w:sz w:val="21"/>
                <w:szCs w:val="21"/>
              </w:rPr>
              <w:t>PH</w:t>
            </w:r>
          </w:p>
        </w:tc>
        <w:tc>
          <w:tcPr>
            <w:tcW w:w="1005" w:type="dxa"/>
            <w:tcBorders>
              <w:top w:val="single" w:color="auto" w:sz="4" w:space="0"/>
              <w:left w:val="single" w:color="auto" w:sz="4" w:space="0"/>
              <w:bottom w:val="single" w:color="auto" w:sz="4" w:space="0"/>
              <w:right w:val="single" w:color="auto" w:sz="4" w:space="0"/>
            </w:tcBorders>
            <w:vAlign w:val="center"/>
          </w:tcPr>
          <w:p w14:paraId="718C946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77F80B1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30" w:type="dxa"/>
            <w:tcBorders>
              <w:top w:val="single" w:color="auto" w:sz="4" w:space="0"/>
              <w:left w:val="single" w:color="auto" w:sz="4" w:space="0"/>
              <w:bottom w:val="single" w:color="auto" w:sz="4" w:space="0"/>
              <w:right w:val="single" w:color="auto" w:sz="4" w:space="0"/>
            </w:tcBorders>
            <w:vAlign w:val="center"/>
          </w:tcPr>
          <w:p w14:paraId="3ACD2D3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5E767D5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6CF8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714FC3C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6D834BB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数采仪</w:t>
            </w:r>
          </w:p>
        </w:tc>
        <w:tc>
          <w:tcPr>
            <w:tcW w:w="1005" w:type="dxa"/>
            <w:tcBorders>
              <w:top w:val="single" w:color="auto" w:sz="4" w:space="0"/>
              <w:left w:val="single" w:color="auto" w:sz="4" w:space="0"/>
              <w:bottom w:val="single" w:color="auto" w:sz="4" w:space="0"/>
              <w:right w:val="single" w:color="auto" w:sz="4" w:space="0"/>
            </w:tcBorders>
            <w:vAlign w:val="center"/>
          </w:tcPr>
          <w:p w14:paraId="19E04E7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62C6361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万维盈创</w:t>
            </w:r>
          </w:p>
        </w:tc>
        <w:tc>
          <w:tcPr>
            <w:tcW w:w="1830" w:type="dxa"/>
            <w:tcBorders>
              <w:top w:val="single" w:color="auto" w:sz="4" w:space="0"/>
              <w:left w:val="single" w:color="auto" w:sz="4" w:space="0"/>
              <w:bottom w:val="single" w:color="auto" w:sz="4" w:space="0"/>
              <w:right w:val="single" w:color="auto" w:sz="4" w:space="0"/>
            </w:tcBorders>
            <w:vAlign w:val="center"/>
          </w:tcPr>
          <w:p w14:paraId="6CE4470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49D4C5C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23C3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7B60723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3F21ED4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混采仪</w:t>
            </w:r>
          </w:p>
        </w:tc>
        <w:tc>
          <w:tcPr>
            <w:tcW w:w="1005" w:type="dxa"/>
            <w:tcBorders>
              <w:top w:val="single" w:color="auto" w:sz="4" w:space="0"/>
              <w:left w:val="single" w:color="auto" w:sz="4" w:space="0"/>
              <w:bottom w:val="single" w:color="auto" w:sz="4" w:space="0"/>
              <w:right w:val="single" w:color="auto" w:sz="4" w:space="0"/>
            </w:tcBorders>
            <w:vAlign w:val="center"/>
          </w:tcPr>
          <w:p w14:paraId="760B07C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6D0066B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万维盈创</w:t>
            </w:r>
          </w:p>
        </w:tc>
        <w:tc>
          <w:tcPr>
            <w:tcW w:w="1830" w:type="dxa"/>
            <w:tcBorders>
              <w:top w:val="single" w:color="auto" w:sz="4" w:space="0"/>
              <w:left w:val="single" w:color="auto" w:sz="4" w:space="0"/>
              <w:bottom w:val="single" w:color="auto" w:sz="4" w:space="0"/>
              <w:right w:val="single" w:color="auto" w:sz="4" w:space="0"/>
            </w:tcBorders>
            <w:vAlign w:val="center"/>
          </w:tcPr>
          <w:p w14:paraId="7A8EE78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3FE04AD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1ABF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restart"/>
          </w:tcPr>
          <w:p w14:paraId="0BF2512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p w14:paraId="14E85C5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p w14:paraId="72538C2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p w14:paraId="212073CC">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r>
              <w:rPr>
                <w:rFonts w:hint="eastAsia" w:ascii="宋体" w:hAnsi="宋体" w:eastAsia="宋体" w:cs="宋体"/>
                <w:color w:val="000000"/>
                <w:kern w:val="0"/>
                <w:sz w:val="21"/>
                <w:szCs w:val="21"/>
                <w:lang w:val="en-US" w:eastAsia="zh-CN"/>
              </w:rPr>
              <w:t>花桥</w:t>
            </w:r>
            <w:r>
              <w:rPr>
                <w:rFonts w:hint="eastAsia" w:ascii="宋体" w:hAnsi="宋体" w:eastAsia="宋体" w:cs="宋体"/>
                <w:color w:val="000000"/>
                <w:kern w:val="0"/>
                <w:sz w:val="21"/>
                <w:szCs w:val="21"/>
              </w:rPr>
              <w:t>水质净化厂</w:t>
            </w:r>
          </w:p>
        </w:tc>
        <w:tc>
          <w:tcPr>
            <w:tcW w:w="945" w:type="dxa"/>
            <w:tcBorders>
              <w:top w:val="single" w:color="auto" w:sz="4" w:space="0"/>
              <w:left w:val="single" w:color="auto" w:sz="4" w:space="0"/>
              <w:bottom w:val="single" w:color="auto" w:sz="4" w:space="0"/>
              <w:right w:val="single" w:color="auto" w:sz="4" w:space="0"/>
            </w:tcBorders>
            <w:vAlign w:val="center"/>
          </w:tcPr>
          <w:p w14:paraId="570E9E2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TP</w:t>
            </w:r>
          </w:p>
        </w:tc>
        <w:tc>
          <w:tcPr>
            <w:tcW w:w="1005" w:type="dxa"/>
            <w:tcBorders>
              <w:top w:val="single" w:color="auto" w:sz="4" w:space="0"/>
              <w:left w:val="single" w:color="auto" w:sz="4" w:space="0"/>
              <w:bottom w:val="single" w:color="auto" w:sz="4" w:space="0"/>
              <w:right w:val="single" w:color="auto" w:sz="4" w:space="0"/>
            </w:tcBorders>
            <w:vAlign w:val="center"/>
          </w:tcPr>
          <w:p w14:paraId="61F9159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15892B5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6F7D364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65FA489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581D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0F9F657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04B9574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TN</w:t>
            </w:r>
          </w:p>
        </w:tc>
        <w:tc>
          <w:tcPr>
            <w:tcW w:w="1005" w:type="dxa"/>
            <w:tcBorders>
              <w:top w:val="single" w:color="auto" w:sz="4" w:space="0"/>
              <w:left w:val="single" w:color="auto" w:sz="4" w:space="0"/>
              <w:bottom w:val="single" w:color="auto" w:sz="4" w:space="0"/>
              <w:right w:val="single" w:color="auto" w:sz="4" w:space="0"/>
            </w:tcBorders>
            <w:vAlign w:val="center"/>
          </w:tcPr>
          <w:p w14:paraId="7B51969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15D0FAA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465E96F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05C2F2C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1EF6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3F0B85A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4B88FFD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COD</w:t>
            </w:r>
          </w:p>
        </w:tc>
        <w:tc>
          <w:tcPr>
            <w:tcW w:w="1005" w:type="dxa"/>
            <w:tcBorders>
              <w:top w:val="single" w:color="auto" w:sz="4" w:space="0"/>
              <w:left w:val="single" w:color="auto" w:sz="4" w:space="0"/>
              <w:bottom w:val="single" w:color="auto" w:sz="4" w:space="0"/>
              <w:right w:val="single" w:color="auto" w:sz="4" w:space="0"/>
            </w:tcBorders>
            <w:vAlign w:val="center"/>
          </w:tcPr>
          <w:p w14:paraId="113EF77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2F0B45C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泽天科技</w:t>
            </w:r>
          </w:p>
        </w:tc>
        <w:tc>
          <w:tcPr>
            <w:tcW w:w="1830" w:type="dxa"/>
            <w:tcBorders>
              <w:top w:val="single" w:color="auto" w:sz="4" w:space="0"/>
              <w:left w:val="single" w:color="auto" w:sz="4" w:space="0"/>
              <w:bottom w:val="single" w:color="auto" w:sz="4" w:space="0"/>
              <w:right w:val="single" w:color="auto" w:sz="4" w:space="0"/>
            </w:tcBorders>
            <w:vAlign w:val="center"/>
          </w:tcPr>
          <w:p w14:paraId="6339557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0E05F99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36C3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69D269C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60F3BF6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NH3-N</w:t>
            </w:r>
          </w:p>
        </w:tc>
        <w:tc>
          <w:tcPr>
            <w:tcW w:w="1005" w:type="dxa"/>
            <w:tcBorders>
              <w:top w:val="single" w:color="auto" w:sz="4" w:space="0"/>
              <w:left w:val="single" w:color="auto" w:sz="4" w:space="0"/>
              <w:bottom w:val="single" w:color="auto" w:sz="4" w:space="0"/>
              <w:right w:val="single" w:color="auto" w:sz="4" w:space="0"/>
            </w:tcBorders>
            <w:vAlign w:val="center"/>
          </w:tcPr>
          <w:p w14:paraId="2E7925B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4E6B8FF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24BF66E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18786FE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6AEE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21A9995C">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0C05E70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混采仪</w:t>
            </w:r>
          </w:p>
        </w:tc>
        <w:tc>
          <w:tcPr>
            <w:tcW w:w="1005" w:type="dxa"/>
            <w:tcBorders>
              <w:top w:val="single" w:color="auto" w:sz="4" w:space="0"/>
              <w:left w:val="single" w:color="auto" w:sz="4" w:space="0"/>
              <w:bottom w:val="single" w:color="auto" w:sz="4" w:space="0"/>
              <w:right w:val="single" w:color="auto" w:sz="4" w:space="0"/>
            </w:tcBorders>
            <w:vAlign w:val="center"/>
          </w:tcPr>
          <w:p w14:paraId="0C5C724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进</w:t>
            </w:r>
            <w:r>
              <w:rPr>
                <w:rFonts w:hint="eastAsia" w:ascii="宋体" w:hAnsi="宋体" w:eastAsia="宋体" w:cs="宋体"/>
                <w:color w:val="000000"/>
                <w:kern w:val="0"/>
                <w:sz w:val="21"/>
                <w:szCs w:val="21"/>
              </w:rPr>
              <w:t>水</w:t>
            </w:r>
          </w:p>
        </w:tc>
        <w:tc>
          <w:tcPr>
            <w:tcW w:w="1395" w:type="dxa"/>
            <w:tcBorders>
              <w:top w:val="single" w:color="auto" w:sz="4" w:space="0"/>
              <w:left w:val="single" w:color="auto" w:sz="4" w:space="0"/>
              <w:bottom w:val="single" w:color="auto" w:sz="4" w:space="0"/>
              <w:right w:val="single" w:color="auto" w:sz="4" w:space="0"/>
            </w:tcBorders>
            <w:vAlign w:val="center"/>
          </w:tcPr>
          <w:p w14:paraId="568B5B7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w:t>
            </w:r>
          </w:p>
        </w:tc>
        <w:tc>
          <w:tcPr>
            <w:tcW w:w="1830" w:type="dxa"/>
            <w:tcBorders>
              <w:top w:val="single" w:color="auto" w:sz="4" w:space="0"/>
              <w:left w:val="single" w:color="auto" w:sz="4" w:space="0"/>
              <w:bottom w:val="single" w:color="auto" w:sz="4" w:space="0"/>
              <w:right w:val="single" w:color="auto" w:sz="4" w:space="0"/>
            </w:tcBorders>
            <w:vAlign w:val="center"/>
          </w:tcPr>
          <w:p w14:paraId="4EB2344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7D95C12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3D78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55A2A3FB">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75BA963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数采仪</w:t>
            </w:r>
          </w:p>
        </w:tc>
        <w:tc>
          <w:tcPr>
            <w:tcW w:w="1005" w:type="dxa"/>
            <w:tcBorders>
              <w:top w:val="single" w:color="auto" w:sz="4" w:space="0"/>
              <w:left w:val="single" w:color="auto" w:sz="4" w:space="0"/>
              <w:bottom w:val="single" w:color="auto" w:sz="4" w:space="0"/>
              <w:right w:val="single" w:color="auto" w:sz="4" w:space="0"/>
            </w:tcBorders>
            <w:vAlign w:val="center"/>
          </w:tcPr>
          <w:p w14:paraId="3F89DD3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19CF38A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10BC090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224CC29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37E5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0C6B9D80">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2D660DC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rPr>
              <w:t>TP</w:t>
            </w:r>
          </w:p>
        </w:tc>
        <w:tc>
          <w:tcPr>
            <w:tcW w:w="1005" w:type="dxa"/>
            <w:tcBorders>
              <w:top w:val="single" w:color="auto" w:sz="4" w:space="0"/>
              <w:left w:val="single" w:color="auto" w:sz="4" w:space="0"/>
              <w:bottom w:val="single" w:color="auto" w:sz="4" w:space="0"/>
              <w:right w:val="single" w:color="auto" w:sz="4" w:space="0"/>
            </w:tcBorders>
            <w:vAlign w:val="center"/>
          </w:tcPr>
          <w:p w14:paraId="7994059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1E27DF9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61DBD34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293A9C8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一、二期</w:t>
            </w:r>
          </w:p>
        </w:tc>
      </w:tr>
      <w:tr w14:paraId="3FD5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0FB18802">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4DC5F99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TN</w:t>
            </w:r>
          </w:p>
        </w:tc>
        <w:tc>
          <w:tcPr>
            <w:tcW w:w="1005" w:type="dxa"/>
            <w:tcBorders>
              <w:top w:val="single" w:color="auto" w:sz="4" w:space="0"/>
              <w:left w:val="single" w:color="auto" w:sz="4" w:space="0"/>
              <w:bottom w:val="single" w:color="auto" w:sz="4" w:space="0"/>
              <w:right w:val="single" w:color="auto" w:sz="4" w:space="0"/>
            </w:tcBorders>
            <w:vAlign w:val="center"/>
          </w:tcPr>
          <w:p w14:paraId="1B7834E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436F960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5F4D493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66D57EC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一、二期</w:t>
            </w:r>
          </w:p>
        </w:tc>
      </w:tr>
      <w:tr w14:paraId="61EB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6517E7FA">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36E33FC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COD</w:t>
            </w:r>
          </w:p>
        </w:tc>
        <w:tc>
          <w:tcPr>
            <w:tcW w:w="1005" w:type="dxa"/>
            <w:tcBorders>
              <w:top w:val="single" w:color="auto" w:sz="4" w:space="0"/>
              <w:left w:val="single" w:color="auto" w:sz="4" w:space="0"/>
              <w:bottom w:val="single" w:color="auto" w:sz="4" w:space="0"/>
              <w:right w:val="single" w:color="auto" w:sz="4" w:space="0"/>
            </w:tcBorders>
            <w:vAlign w:val="center"/>
          </w:tcPr>
          <w:p w14:paraId="1C99367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3D4F7CB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783106C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1338700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一、二期</w:t>
            </w:r>
          </w:p>
        </w:tc>
      </w:tr>
      <w:tr w14:paraId="2AEB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39D26A7F">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5FA2C85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NH3-N</w:t>
            </w:r>
          </w:p>
        </w:tc>
        <w:tc>
          <w:tcPr>
            <w:tcW w:w="1005" w:type="dxa"/>
            <w:tcBorders>
              <w:top w:val="single" w:color="auto" w:sz="4" w:space="0"/>
              <w:left w:val="single" w:color="auto" w:sz="4" w:space="0"/>
              <w:bottom w:val="single" w:color="auto" w:sz="4" w:space="0"/>
              <w:right w:val="single" w:color="auto" w:sz="4" w:space="0"/>
            </w:tcBorders>
            <w:vAlign w:val="center"/>
          </w:tcPr>
          <w:p w14:paraId="5BC5252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3AE7C4A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60E6ECB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6CF5AE3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一、二期</w:t>
            </w:r>
          </w:p>
        </w:tc>
      </w:tr>
      <w:tr w14:paraId="747C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Align w:val="center"/>
          </w:tcPr>
          <w:p w14:paraId="10C8617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厂名</w:t>
            </w:r>
          </w:p>
        </w:tc>
        <w:tc>
          <w:tcPr>
            <w:tcW w:w="945" w:type="dxa"/>
            <w:tcBorders>
              <w:top w:val="single" w:color="auto" w:sz="4" w:space="0"/>
              <w:left w:val="single" w:color="auto" w:sz="4" w:space="0"/>
              <w:bottom w:val="single" w:color="auto" w:sz="4" w:space="0"/>
              <w:right w:val="single" w:color="auto" w:sz="4" w:space="0"/>
            </w:tcBorders>
            <w:vAlign w:val="center"/>
          </w:tcPr>
          <w:p w14:paraId="4A94E6E0">
            <w:pPr>
              <w:keepNext w:val="0"/>
              <w:keepLines w:val="0"/>
              <w:suppressLineNumbers w:val="0"/>
              <w:spacing w:before="0" w:beforeAutospacing="0" w:after="0" w:afterAutospacing="0"/>
              <w:ind w:left="0" w:right="0"/>
              <w:jc w:val="center"/>
              <w:rPr>
                <w:rFonts w:hint="eastAsia" w:ascii="宋体" w:hAnsi="宋体" w:eastAsia="宋体" w:cs="宋体"/>
                <w:color w:val="2E2E2E"/>
                <w:kern w:val="0"/>
                <w:sz w:val="21"/>
                <w:szCs w:val="21"/>
              </w:rPr>
            </w:pPr>
            <w:r>
              <w:rPr>
                <w:rFonts w:hint="eastAsia" w:ascii="宋体" w:hAnsi="宋体" w:eastAsia="宋体" w:cs="宋体"/>
                <w:color w:val="000000"/>
                <w:kern w:val="0"/>
                <w:sz w:val="21"/>
                <w:szCs w:val="21"/>
              </w:rPr>
              <w:t>仪表名称</w:t>
            </w:r>
          </w:p>
        </w:tc>
        <w:tc>
          <w:tcPr>
            <w:tcW w:w="1005" w:type="dxa"/>
            <w:tcBorders>
              <w:top w:val="single" w:color="auto" w:sz="4" w:space="0"/>
              <w:left w:val="single" w:color="auto" w:sz="4" w:space="0"/>
              <w:bottom w:val="single" w:color="auto" w:sz="4" w:space="0"/>
              <w:right w:val="single" w:color="auto" w:sz="4" w:space="0"/>
            </w:tcBorders>
            <w:vAlign w:val="center"/>
          </w:tcPr>
          <w:p w14:paraId="305A7DE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安装位置</w:t>
            </w:r>
          </w:p>
        </w:tc>
        <w:tc>
          <w:tcPr>
            <w:tcW w:w="1395" w:type="dxa"/>
            <w:tcBorders>
              <w:top w:val="single" w:color="auto" w:sz="4" w:space="0"/>
              <w:left w:val="single" w:color="auto" w:sz="4" w:space="0"/>
              <w:bottom w:val="single" w:color="auto" w:sz="4" w:space="0"/>
              <w:right w:val="single" w:color="auto" w:sz="4" w:space="0"/>
            </w:tcBorders>
            <w:vAlign w:val="center"/>
          </w:tcPr>
          <w:p w14:paraId="29BE920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厂家品牌</w:t>
            </w:r>
          </w:p>
        </w:tc>
        <w:tc>
          <w:tcPr>
            <w:tcW w:w="1830" w:type="dxa"/>
            <w:tcBorders>
              <w:top w:val="single" w:color="auto" w:sz="4" w:space="0"/>
              <w:left w:val="single" w:color="auto" w:sz="4" w:space="0"/>
              <w:bottom w:val="single" w:color="auto" w:sz="4" w:space="0"/>
              <w:right w:val="single" w:color="auto" w:sz="4" w:space="0"/>
            </w:tcBorders>
            <w:vAlign w:val="center"/>
          </w:tcPr>
          <w:p w14:paraId="2AEB2F7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数量（台）</w:t>
            </w:r>
          </w:p>
        </w:tc>
        <w:tc>
          <w:tcPr>
            <w:tcW w:w="1605" w:type="dxa"/>
            <w:tcBorders>
              <w:top w:val="single" w:color="auto" w:sz="4" w:space="0"/>
              <w:left w:val="single" w:color="auto" w:sz="4" w:space="0"/>
              <w:bottom w:val="single" w:color="auto" w:sz="4" w:space="0"/>
              <w:right w:val="single" w:color="auto" w:sz="4" w:space="0"/>
            </w:tcBorders>
            <w:vAlign w:val="center"/>
          </w:tcPr>
          <w:p w14:paraId="336D1DF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备注</w:t>
            </w:r>
          </w:p>
        </w:tc>
      </w:tr>
      <w:tr w14:paraId="5CE1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restart"/>
          </w:tcPr>
          <w:p w14:paraId="7FECFEC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p w14:paraId="7AAAF59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p w14:paraId="7F6EBAB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p w14:paraId="340534B0">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r>
              <w:rPr>
                <w:rFonts w:hint="eastAsia" w:ascii="宋体" w:hAnsi="宋体" w:eastAsia="宋体" w:cs="宋体"/>
                <w:color w:val="000000"/>
                <w:kern w:val="0"/>
                <w:sz w:val="21"/>
                <w:szCs w:val="21"/>
                <w:lang w:val="en-US" w:eastAsia="zh-CN"/>
              </w:rPr>
              <w:t>花桥</w:t>
            </w:r>
            <w:r>
              <w:rPr>
                <w:rFonts w:hint="eastAsia" w:ascii="宋体" w:hAnsi="宋体" w:eastAsia="宋体" w:cs="宋体"/>
                <w:color w:val="000000"/>
                <w:kern w:val="0"/>
                <w:sz w:val="21"/>
                <w:szCs w:val="21"/>
              </w:rPr>
              <w:t>水质净化厂</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57D5462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2E2E2E"/>
                <w:kern w:val="0"/>
                <w:sz w:val="21"/>
                <w:szCs w:val="21"/>
              </w:rPr>
              <w:t>PH</w:t>
            </w:r>
          </w:p>
        </w:tc>
        <w:tc>
          <w:tcPr>
            <w:tcW w:w="1005" w:type="dxa"/>
            <w:tcBorders>
              <w:top w:val="single" w:color="auto" w:sz="4" w:space="0"/>
              <w:left w:val="single" w:color="auto" w:sz="4" w:space="0"/>
              <w:bottom w:val="single" w:color="auto" w:sz="4" w:space="0"/>
              <w:right w:val="single" w:color="auto" w:sz="4" w:space="0"/>
            </w:tcBorders>
            <w:vAlign w:val="center"/>
          </w:tcPr>
          <w:p w14:paraId="46CD1DD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1CE0AFC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4DBFA3C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4AC0D01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一、二期</w:t>
            </w:r>
          </w:p>
        </w:tc>
      </w:tr>
      <w:tr w14:paraId="39E2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37A90388">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204EE0F3">
            <w:pPr>
              <w:keepNext w:val="0"/>
              <w:keepLines w:val="0"/>
              <w:suppressLineNumbers w:val="0"/>
              <w:spacing w:before="0" w:beforeAutospacing="0" w:after="0" w:afterAutospacing="0"/>
              <w:ind w:left="0" w:right="0"/>
              <w:jc w:val="center"/>
              <w:rPr>
                <w:rFonts w:hint="eastAsia" w:ascii="宋体" w:hAnsi="宋体" w:eastAsia="宋体" w:cs="宋体"/>
                <w:color w:val="2E2E2E"/>
                <w:kern w:val="0"/>
                <w:sz w:val="21"/>
                <w:szCs w:val="21"/>
              </w:rPr>
            </w:pPr>
            <w:r>
              <w:rPr>
                <w:rFonts w:hint="eastAsia" w:ascii="宋体" w:hAnsi="宋体" w:eastAsia="宋体" w:cs="宋体"/>
                <w:color w:val="000000"/>
                <w:kern w:val="0"/>
                <w:sz w:val="21"/>
                <w:szCs w:val="21"/>
                <w:lang w:val="en-US" w:eastAsia="zh-CN"/>
              </w:rPr>
              <w:t>数采仪</w:t>
            </w:r>
          </w:p>
        </w:tc>
        <w:tc>
          <w:tcPr>
            <w:tcW w:w="1005" w:type="dxa"/>
            <w:tcBorders>
              <w:top w:val="single" w:color="auto" w:sz="4" w:space="0"/>
              <w:left w:val="single" w:color="auto" w:sz="4" w:space="0"/>
              <w:bottom w:val="single" w:color="auto" w:sz="4" w:space="0"/>
              <w:right w:val="single" w:color="auto" w:sz="4" w:space="0"/>
            </w:tcBorders>
            <w:vAlign w:val="center"/>
          </w:tcPr>
          <w:p w14:paraId="2F5B1F6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42A367A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5A3A4BD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73D6349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一、二期</w:t>
            </w:r>
          </w:p>
        </w:tc>
      </w:tr>
      <w:tr w14:paraId="3DE6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34880C3F">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38FEC17B">
            <w:pPr>
              <w:keepNext w:val="0"/>
              <w:keepLines w:val="0"/>
              <w:suppressLineNumbers w:val="0"/>
              <w:spacing w:before="0" w:beforeAutospacing="0" w:after="0" w:afterAutospacing="0"/>
              <w:ind w:left="0" w:right="0"/>
              <w:jc w:val="center"/>
              <w:rPr>
                <w:rFonts w:hint="eastAsia" w:ascii="宋体" w:hAnsi="宋体" w:eastAsia="宋体" w:cs="宋体"/>
                <w:color w:val="2E2E2E"/>
                <w:kern w:val="0"/>
                <w:sz w:val="21"/>
                <w:szCs w:val="21"/>
              </w:rPr>
            </w:pPr>
            <w:r>
              <w:rPr>
                <w:rFonts w:hint="eastAsia" w:ascii="宋体" w:hAnsi="宋体" w:eastAsia="宋体" w:cs="宋体"/>
                <w:color w:val="000000"/>
                <w:kern w:val="0"/>
                <w:sz w:val="21"/>
                <w:szCs w:val="21"/>
                <w:lang w:val="en-US" w:eastAsia="zh-CN"/>
              </w:rPr>
              <w:t>混采仪</w:t>
            </w:r>
          </w:p>
        </w:tc>
        <w:tc>
          <w:tcPr>
            <w:tcW w:w="1005" w:type="dxa"/>
            <w:tcBorders>
              <w:top w:val="single" w:color="auto" w:sz="4" w:space="0"/>
              <w:left w:val="single" w:color="auto" w:sz="4" w:space="0"/>
              <w:bottom w:val="single" w:color="auto" w:sz="4" w:space="0"/>
              <w:right w:val="single" w:color="auto" w:sz="4" w:space="0"/>
            </w:tcBorders>
            <w:vAlign w:val="center"/>
          </w:tcPr>
          <w:p w14:paraId="077BEFD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63CF506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万维盈创</w:t>
            </w:r>
          </w:p>
        </w:tc>
        <w:tc>
          <w:tcPr>
            <w:tcW w:w="1830" w:type="dxa"/>
            <w:tcBorders>
              <w:top w:val="single" w:color="auto" w:sz="4" w:space="0"/>
              <w:left w:val="single" w:color="auto" w:sz="4" w:space="0"/>
              <w:bottom w:val="single" w:color="auto" w:sz="4" w:space="0"/>
              <w:right w:val="single" w:color="auto" w:sz="4" w:space="0"/>
            </w:tcBorders>
            <w:vAlign w:val="center"/>
          </w:tcPr>
          <w:p w14:paraId="17DB06C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5AFBBB2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一、二期</w:t>
            </w:r>
          </w:p>
        </w:tc>
      </w:tr>
      <w:tr w14:paraId="2B20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3C8F2ADB">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1869526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TP</w:t>
            </w:r>
          </w:p>
        </w:tc>
        <w:tc>
          <w:tcPr>
            <w:tcW w:w="1005" w:type="dxa"/>
            <w:tcBorders>
              <w:top w:val="single" w:color="auto" w:sz="4" w:space="0"/>
              <w:left w:val="single" w:color="auto" w:sz="4" w:space="0"/>
              <w:bottom w:val="single" w:color="auto" w:sz="4" w:space="0"/>
              <w:right w:val="single" w:color="auto" w:sz="4" w:space="0"/>
            </w:tcBorders>
            <w:vAlign w:val="center"/>
          </w:tcPr>
          <w:p w14:paraId="06F662E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20DD1E7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赛莱默</w:t>
            </w:r>
          </w:p>
        </w:tc>
        <w:tc>
          <w:tcPr>
            <w:tcW w:w="1830" w:type="dxa"/>
            <w:tcBorders>
              <w:top w:val="single" w:color="auto" w:sz="4" w:space="0"/>
              <w:left w:val="single" w:color="auto" w:sz="4" w:space="0"/>
              <w:bottom w:val="single" w:color="auto" w:sz="4" w:space="0"/>
              <w:right w:val="single" w:color="auto" w:sz="4" w:space="0"/>
            </w:tcBorders>
            <w:vAlign w:val="center"/>
          </w:tcPr>
          <w:p w14:paraId="1AFB228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51134DA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三期</w:t>
            </w:r>
          </w:p>
        </w:tc>
      </w:tr>
      <w:tr w14:paraId="721B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6BFA74D4">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12C3201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TN</w:t>
            </w:r>
          </w:p>
        </w:tc>
        <w:tc>
          <w:tcPr>
            <w:tcW w:w="1005" w:type="dxa"/>
            <w:tcBorders>
              <w:top w:val="single" w:color="auto" w:sz="4" w:space="0"/>
              <w:left w:val="single" w:color="auto" w:sz="4" w:space="0"/>
              <w:bottom w:val="single" w:color="auto" w:sz="4" w:space="0"/>
              <w:right w:val="single" w:color="auto" w:sz="4" w:space="0"/>
            </w:tcBorders>
            <w:vAlign w:val="center"/>
          </w:tcPr>
          <w:p w14:paraId="52D19AC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26CDD1A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赛莱默</w:t>
            </w:r>
          </w:p>
        </w:tc>
        <w:tc>
          <w:tcPr>
            <w:tcW w:w="1830" w:type="dxa"/>
            <w:tcBorders>
              <w:top w:val="single" w:color="auto" w:sz="4" w:space="0"/>
              <w:left w:val="single" w:color="auto" w:sz="4" w:space="0"/>
              <w:bottom w:val="single" w:color="auto" w:sz="4" w:space="0"/>
              <w:right w:val="single" w:color="auto" w:sz="4" w:space="0"/>
            </w:tcBorders>
            <w:vAlign w:val="center"/>
          </w:tcPr>
          <w:p w14:paraId="23E9A0E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2BA1296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三期</w:t>
            </w:r>
          </w:p>
        </w:tc>
      </w:tr>
      <w:tr w14:paraId="0233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49ECCA45">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7C71A0F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COD</w:t>
            </w:r>
          </w:p>
        </w:tc>
        <w:tc>
          <w:tcPr>
            <w:tcW w:w="1005" w:type="dxa"/>
            <w:tcBorders>
              <w:top w:val="single" w:color="auto" w:sz="4" w:space="0"/>
              <w:left w:val="single" w:color="auto" w:sz="4" w:space="0"/>
              <w:bottom w:val="single" w:color="auto" w:sz="4" w:space="0"/>
              <w:right w:val="single" w:color="auto" w:sz="4" w:space="0"/>
            </w:tcBorders>
            <w:vAlign w:val="center"/>
          </w:tcPr>
          <w:p w14:paraId="41ACEFE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12947C1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泽天科技</w:t>
            </w:r>
          </w:p>
        </w:tc>
        <w:tc>
          <w:tcPr>
            <w:tcW w:w="1830" w:type="dxa"/>
            <w:tcBorders>
              <w:top w:val="single" w:color="auto" w:sz="4" w:space="0"/>
              <w:left w:val="single" w:color="auto" w:sz="4" w:space="0"/>
              <w:bottom w:val="single" w:color="auto" w:sz="4" w:space="0"/>
              <w:right w:val="single" w:color="auto" w:sz="4" w:space="0"/>
            </w:tcBorders>
            <w:vAlign w:val="center"/>
          </w:tcPr>
          <w:p w14:paraId="58E5326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2D1BD36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三期</w:t>
            </w:r>
          </w:p>
        </w:tc>
      </w:tr>
      <w:tr w14:paraId="18DE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253778C6">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5976B52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NH3-N</w:t>
            </w:r>
          </w:p>
        </w:tc>
        <w:tc>
          <w:tcPr>
            <w:tcW w:w="1005" w:type="dxa"/>
            <w:tcBorders>
              <w:top w:val="single" w:color="auto" w:sz="4" w:space="0"/>
              <w:left w:val="single" w:color="auto" w:sz="4" w:space="0"/>
              <w:bottom w:val="single" w:color="auto" w:sz="4" w:space="0"/>
              <w:right w:val="single" w:color="auto" w:sz="4" w:space="0"/>
            </w:tcBorders>
            <w:vAlign w:val="center"/>
          </w:tcPr>
          <w:p w14:paraId="25A9B9F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0803DB9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18CECCE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0DBACF6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三期</w:t>
            </w:r>
          </w:p>
        </w:tc>
      </w:tr>
      <w:tr w14:paraId="7173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42DF66FB">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3E9A64F4">
            <w:pPr>
              <w:keepNext w:val="0"/>
              <w:keepLines w:val="0"/>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color w:val="2E2E2E"/>
                <w:kern w:val="0"/>
                <w:sz w:val="21"/>
                <w:szCs w:val="21"/>
              </w:rPr>
              <w:t>PH</w:t>
            </w:r>
          </w:p>
        </w:tc>
        <w:tc>
          <w:tcPr>
            <w:tcW w:w="1005" w:type="dxa"/>
            <w:tcBorders>
              <w:top w:val="single" w:color="auto" w:sz="4" w:space="0"/>
              <w:left w:val="single" w:color="auto" w:sz="4" w:space="0"/>
              <w:bottom w:val="single" w:color="auto" w:sz="4" w:space="0"/>
              <w:right w:val="single" w:color="auto" w:sz="4" w:space="0"/>
            </w:tcBorders>
            <w:vAlign w:val="center"/>
          </w:tcPr>
          <w:p w14:paraId="098C5218">
            <w:pPr>
              <w:keepNext w:val="0"/>
              <w:keepLines w:val="0"/>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5E8AFAEA">
            <w:pPr>
              <w:keepNext w:val="0"/>
              <w:keepLines w:val="0"/>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1D04D8B7">
            <w:pPr>
              <w:keepNext w:val="0"/>
              <w:keepLines w:val="0"/>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42BB198F">
            <w:pPr>
              <w:keepNext w:val="0"/>
              <w:keepLines w:val="0"/>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color w:val="000000"/>
                <w:kern w:val="0"/>
                <w:sz w:val="21"/>
                <w:szCs w:val="21"/>
                <w:lang w:val="en-US" w:eastAsia="zh-CN"/>
              </w:rPr>
              <w:t>三期</w:t>
            </w:r>
          </w:p>
        </w:tc>
      </w:tr>
      <w:tr w14:paraId="4735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 w:type="dxa"/>
            <w:vMerge w:val="continue"/>
          </w:tcPr>
          <w:p w14:paraId="5EE5FDA6">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2DBD25A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数采仪</w:t>
            </w:r>
          </w:p>
        </w:tc>
        <w:tc>
          <w:tcPr>
            <w:tcW w:w="1005" w:type="dxa"/>
            <w:tcBorders>
              <w:top w:val="single" w:color="auto" w:sz="4" w:space="0"/>
              <w:left w:val="single" w:color="auto" w:sz="4" w:space="0"/>
              <w:bottom w:val="single" w:color="auto" w:sz="4" w:space="0"/>
              <w:right w:val="single" w:color="auto" w:sz="4" w:space="0"/>
            </w:tcBorders>
            <w:vAlign w:val="center"/>
          </w:tcPr>
          <w:p w14:paraId="35773A6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374977D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万维盈创</w:t>
            </w:r>
          </w:p>
        </w:tc>
        <w:tc>
          <w:tcPr>
            <w:tcW w:w="1830" w:type="dxa"/>
            <w:tcBorders>
              <w:top w:val="single" w:color="auto" w:sz="4" w:space="0"/>
              <w:left w:val="single" w:color="auto" w:sz="4" w:space="0"/>
              <w:bottom w:val="single" w:color="auto" w:sz="4" w:space="0"/>
              <w:right w:val="single" w:color="auto" w:sz="4" w:space="0"/>
            </w:tcBorders>
            <w:vAlign w:val="center"/>
          </w:tcPr>
          <w:p w14:paraId="4D1E56C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6F8B30A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三期</w:t>
            </w:r>
          </w:p>
        </w:tc>
      </w:tr>
      <w:tr w14:paraId="36CE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6CEEE63C">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6F1B2A8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混采仪</w:t>
            </w:r>
          </w:p>
        </w:tc>
        <w:tc>
          <w:tcPr>
            <w:tcW w:w="1005" w:type="dxa"/>
            <w:tcBorders>
              <w:top w:val="single" w:color="auto" w:sz="4" w:space="0"/>
              <w:left w:val="single" w:color="auto" w:sz="4" w:space="0"/>
              <w:bottom w:val="single" w:color="auto" w:sz="4" w:space="0"/>
              <w:right w:val="single" w:color="auto" w:sz="4" w:space="0"/>
            </w:tcBorders>
            <w:vAlign w:val="center"/>
          </w:tcPr>
          <w:p w14:paraId="0C2F0C7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3B8BD7C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恒达</w:t>
            </w:r>
          </w:p>
        </w:tc>
        <w:tc>
          <w:tcPr>
            <w:tcW w:w="1830" w:type="dxa"/>
            <w:tcBorders>
              <w:top w:val="single" w:color="auto" w:sz="4" w:space="0"/>
              <w:left w:val="single" w:color="auto" w:sz="4" w:space="0"/>
              <w:bottom w:val="single" w:color="auto" w:sz="4" w:space="0"/>
              <w:right w:val="single" w:color="auto" w:sz="4" w:space="0"/>
            </w:tcBorders>
            <w:vAlign w:val="center"/>
          </w:tcPr>
          <w:p w14:paraId="51AB578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429B8C4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三期</w:t>
            </w:r>
          </w:p>
        </w:tc>
      </w:tr>
      <w:tr w14:paraId="0EAE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restart"/>
          </w:tcPr>
          <w:p w14:paraId="6C299E8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p w14:paraId="7992A34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p w14:paraId="4EF89C9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p w14:paraId="45B2543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p w14:paraId="734492BB">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r>
              <w:rPr>
                <w:rFonts w:hint="eastAsia" w:ascii="宋体" w:hAnsi="宋体" w:eastAsia="宋体" w:cs="宋体"/>
                <w:color w:val="000000"/>
                <w:kern w:val="0"/>
                <w:sz w:val="21"/>
                <w:szCs w:val="21"/>
                <w:lang w:val="en-US" w:eastAsia="zh-CN"/>
              </w:rPr>
              <w:t>新开铺水质净化厂</w:t>
            </w:r>
          </w:p>
        </w:tc>
        <w:tc>
          <w:tcPr>
            <w:tcW w:w="945" w:type="dxa"/>
            <w:tcBorders>
              <w:top w:val="single" w:color="auto" w:sz="4" w:space="0"/>
              <w:left w:val="single" w:color="auto" w:sz="4" w:space="0"/>
              <w:bottom w:val="single" w:color="auto" w:sz="4" w:space="0"/>
              <w:right w:val="single" w:color="auto" w:sz="4" w:space="0"/>
            </w:tcBorders>
            <w:vAlign w:val="center"/>
          </w:tcPr>
          <w:p w14:paraId="252216D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TP</w:t>
            </w:r>
          </w:p>
        </w:tc>
        <w:tc>
          <w:tcPr>
            <w:tcW w:w="1005" w:type="dxa"/>
            <w:tcBorders>
              <w:top w:val="single" w:color="auto" w:sz="4" w:space="0"/>
              <w:left w:val="single" w:color="auto" w:sz="4" w:space="0"/>
              <w:bottom w:val="single" w:color="auto" w:sz="4" w:space="0"/>
              <w:right w:val="single" w:color="auto" w:sz="4" w:space="0"/>
            </w:tcBorders>
            <w:vAlign w:val="center"/>
          </w:tcPr>
          <w:p w14:paraId="5D1DA3A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6141C33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益伦环境</w:t>
            </w:r>
          </w:p>
        </w:tc>
        <w:tc>
          <w:tcPr>
            <w:tcW w:w="1830" w:type="dxa"/>
            <w:tcBorders>
              <w:top w:val="single" w:color="auto" w:sz="4" w:space="0"/>
              <w:left w:val="single" w:color="auto" w:sz="4" w:space="0"/>
              <w:bottom w:val="single" w:color="auto" w:sz="4" w:space="0"/>
              <w:right w:val="single" w:color="auto" w:sz="4" w:space="0"/>
            </w:tcBorders>
            <w:vAlign w:val="center"/>
          </w:tcPr>
          <w:p w14:paraId="399E0EC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68A31F0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27E4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207CF860">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7A4DCA8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TN</w:t>
            </w:r>
          </w:p>
        </w:tc>
        <w:tc>
          <w:tcPr>
            <w:tcW w:w="1005" w:type="dxa"/>
            <w:tcBorders>
              <w:top w:val="single" w:color="auto" w:sz="4" w:space="0"/>
              <w:left w:val="single" w:color="auto" w:sz="4" w:space="0"/>
              <w:bottom w:val="single" w:color="auto" w:sz="4" w:space="0"/>
              <w:right w:val="single" w:color="auto" w:sz="4" w:space="0"/>
            </w:tcBorders>
            <w:vAlign w:val="center"/>
          </w:tcPr>
          <w:p w14:paraId="551A7DB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1A12DF2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益伦环境</w:t>
            </w:r>
          </w:p>
        </w:tc>
        <w:tc>
          <w:tcPr>
            <w:tcW w:w="1830" w:type="dxa"/>
            <w:tcBorders>
              <w:top w:val="single" w:color="auto" w:sz="4" w:space="0"/>
              <w:left w:val="single" w:color="auto" w:sz="4" w:space="0"/>
              <w:bottom w:val="single" w:color="auto" w:sz="4" w:space="0"/>
              <w:right w:val="single" w:color="auto" w:sz="4" w:space="0"/>
            </w:tcBorders>
            <w:vAlign w:val="center"/>
          </w:tcPr>
          <w:p w14:paraId="6EA3A16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4C8280E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3252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3DB57CBA">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3059F89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COD</w:t>
            </w:r>
          </w:p>
        </w:tc>
        <w:tc>
          <w:tcPr>
            <w:tcW w:w="1005" w:type="dxa"/>
            <w:tcBorders>
              <w:top w:val="single" w:color="auto" w:sz="4" w:space="0"/>
              <w:left w:val="single" w:color="auto" w:sz="4" w:space="0"/>
              <w:bottom w:val="single" w:color="auto" w:sz="4" w:space="0"/>
              <w:right w:val="single" w:color="auto" w:sz="4" w:space="0"/>
            </w:tcBorders>
            <w:vAlign w:val="center"/>
          </w:tcPr>
          <w:p w14:paraId="27E1146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571B1E3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泽天科技</w:t>
            </w:r>
          </w:p>
        </w:tc>
        <w:tc>
          <w:tcPr>
            <w:tcW w:w="1830" w:type="dxa"/>
            <w:tcBorders>
              <w:top w:val="single" w:color="auto" w:sz="4" w:space="0"/>
              <w:left w:val="single" w:color="auto" w:sz="4" w:space="0"/>
              <w:bottom w:val="single" w:color="auto" w:sz="4" w:space="0"/>
              <w:right w:val="single" w:color="auto" w:sz="4" w:space="0"/>
            </w:tcBorders>
            <w:vAlign w:val="center"/>
          </w:tcPr>
          <w:p w14:paraId="2F00A3A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1A0209A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1306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2768150F">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09760A0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NH3-N</w:t>
            </w:r>
          </w:p>
        </w:tc>
        <w:tc>
          <w:tcPr>
            <w:tcW w:w="1005" w:type="dxa"/>
            <w:tcBorders>
              <w:top w:val="single" w:color="auto" w:sz="4" w:space="0"/>
              <w:left w:val="single" w:color="auto" w:sz="4" w:space="0"/>
              <w:bottom w:val="single" w:color="auto" w:sz="4" w:space="0"/>
              <w:right w:val="single" w:color="auto" w:sz="4" w:space="0"/>
            </w:tcBorders>
            <w:vAlign w:val="center"/>
          </w:tcPr>
          <w:p w14:paraId="43971D8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7C2EA97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0A13756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213EA9A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35B4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06C9D9B3">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37B68A1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数采仪</w:t>
            </w:r>
          </w:p>
        </w:tc>
        <w:tc>
          <w:tcPr>
            <w:tcW w:w="1005" w:type="dxa"/>
            <w:tcBorders>
              <w:top w:val="single" w:color="auto" w:sz="4" w:space="0"/>
              <w:left w:val="single" w:color="auto" w:sz="4" w:space="0"/>
              <w:bottom w:val="single" w:color="auto" w:sz="4" w:space="0"/>
              <w:right w:val="single" w:color="auto" w:sz="4" w:space="0"/>
            </w:tcBorders>
            <w:vAlign w:val="center"/>
          </w:tcPr>
          <w:p w14:paraId="5638D05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229EACB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万维盈创</w:t>
            </w:r>
          </w:p>
        </w:tc>
        <w:tc>
          <w:tcPr>
            <w:tcW w:w="1830" w:type="dxa"/>
            <w:tcBorders>
              <w:top w:val="single" w:color="auto" w:sz="4" w:space="0"/>
              <w:left w:val="single" w:color="auto" w:sz="4" w:space="0"/>
              <w:bottom w:val="single" w:color="auto" w:sz="4" w:space="0"/>
              <w:right w:val="single" w:color="auto" w:sz="4" w:space="0"/>
            </w:tcBorders>
            <w:vAlign w:val="center"/>
          </w:tcPr>
          <w:p w14:paraId="2F1C2EF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19165AF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63A5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0449D7D6">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2EFB182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混采仪</w:t>
            </w:r>
          </w:p>
        </w:tc>
        <w:tc>
          <w:tcPr>
            <w:tcW w:w="1005" w:type="dxa"/>
            <w:tcBorders>
              <w:top w:val="single" w:color="auto" w:sz="4" w:space="0"/>
              <w:left w:val="single" w:color="auto" w:sz="4" w:space="0"/>
              <w:bottom w:val="single" w:color="auto" w:sz="4" w:space="0"/>
              <w:right w:val="single" w:color="auto" w:sz="4" w:space="0"/>
            </w:tcBorders>
            <w:vAlign w:val="center"/>
          </w:tcPr>
          <w:p w14:paraId="358BE02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进水</w:t>
            </w:r>
          </w:p>
        </w:tc>
        <w:tc>
          <w:tcPr>
            <w:tcW w:w="1395" w:type="dxa"/>
            <w:tcBorders>
              <w:top w:val="single" w:color="auto" w:sz="4" w:space="0"/>
              <w:left w:val="single" w:color="auto" w:sz="4" w:space="0"/>
              <w:bottom w:val="single" w:color="auto" w:sz="4" w:space="0"/>
              <w:right w:val="single" w:color="auto" w:sz="4" w:space="0"/>
            </w:tcBorders>
            <w:vAlign w:val="center"/>
          </w:tcPr>
          <w:p w14:paraId="50A2281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德润厚天</w:t>
            </w:r>
          </w:p>
        </w:tc>
        <w:tc>
          <w:tcPr>
            <w:tcW w:w="1830" w:type="dxa"/>
            <w:tcBorders>
              <w:top w:val="single" w:color="auto" w:sz="4" w:space="0"/>
              <w:left w:val="single" w:color="auto" w:sz="4" w:space="0"/>
              <w:bottom w:val="single" w:color="auto" w:sz="4" w:space="0"/>
              <w:right w:val="single" w:color="auto" w:sz="4" w:space="0"/>
            </w:tcBorders>
            <w:vAlign w:val="center"/>
          </w:tcPr>
          <w:p w14:paraId="52FD002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3601C6C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6343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5B2F3B19">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73BA7B4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TP</w:t>
            </w:r>
          </w:p>
        </w:tc>
        <w:tc>
          <w:tcPr>
            <w:tcW w:w="1005" w:type="dxa"/>
            <w:tcBorders>
              <w:top w:val="single" w:color="auto" w:sz="4" w:space="0"/>
              <w:left w:val="single" w:color="auto" w:sz="4" w:space="0"/>
              <w:bottom w:val="single" w:color="auto" w:sz="4" w:space="0"/>
              <w:right w:val="single" w:color="auto" w:sz="4" w:space="0"/>
            </w:tcBorders>
            <w:vAlign w:val="center"/>
          </w:tcPr>
          <w:p w14:paraId="02C6FA6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290A088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468596A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4C33A38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2AB7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00C0CD86">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55A560E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TN</w:t>
            </w:r>
          </w:p>
        </w:tc>
        <w:tc>
          <w:tcPr>
            <w:tcW w:w="1005" w:type="dxa"/>
            <w:tcBorders>
              <w:top w:val="single" w:color="auto" w:sz="4" w:space="0"/>
              <w:left w:val="single" w:color="auto" w:sz="4" w:space="0"/>
              <w:bottom w:val="single" w:color="auto" w:sz="4" w:space="0"/>
              <w:right w:val="single" w:color="auto" w:sz="4" w:space="0"/>
            </w:tcBorders>
            <w:vAlign w:val="center"/>
          </w:tcPr>
          <w:p w14:paraId="70F0E1F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569ED88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深圳正奇</w:t>
            </w:r>
          </w:p>
        </w:tc>
        <w:tc>
          <w:tcPr>
            <w:tcW w:w="1830" w:type="dxa"/>
            <w:tcBorders>
              <w:top w:val="single" w:color="auto" w:sz="4" w:space="0"/>
              <w:left w:val="single" w:color="auto" w:sz="4" w:space="0"/>
              <w:bottom w:val="single" w:color="auto" w:sz="4" w:space="0"/>
              <w:right w:val="single" w:color="auto" w:sz="4" w:space="0"/>
            </w:tcBorders>
            <w:vAlign w:val="center"/>
          </w:tcPr>
          <w:p w14:paraId="4C179DF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356845D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1E60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3F230A0E">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323AE48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COD</w:t>
            </w:r>
          </w:p>
        </w:tc>
        <w:tc>
          <w:tcPr>
            <w:tcW w:w="1005" w:type="dxa"/>
            <w:tcBorders>
              <w:top w:val="single" w:color="auto" w:sz="4" w:space="0"/>
              <w:left w:val="single" w:color="auto" w:sz="4" w:space="0"/>
              <w:bottom w:val="single" w:color="auto" w:sz="4" w:space="0"/>
              <w:right w:val="single" w:color="auto" w:sz="4" w:space="0"/>
            </w:tcBorders>
            <w:vAlign w:val="center"/>
          </w:tcPr>
          <w:p w14:paraId="2585515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01D59F3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2AAFC2F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5A9DC13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1123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07C1C232">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303BEC6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NH3-N</w:t>
            </w:r>
          </w:p>
        </w:tc>
        <w:tc>
          <w:tcPr>
            <w:tcW w:w="1005" w:type="dxa"/>
            <w:tcBorders>
              <w:top w:val="single" w:color="auto" w:sz="4" w:space="0"/>
              <w:left w:val="single" w:color="auto" w:sz="4" w:space="0"/>
              <w:bottom w:val="single" w:color="auto" w:sz="4" w:space="0"/>
              <w:right w:val="single" w:color="auto" w:sz="4" w:space="0"/>
            </w:tcBorders>
            <w:vAlign w:val="center"/>
          </w:tcPr>
          <w:p w14:paraId="4ACB41C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654F4EF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聚光科技</w:t>
            </w:r>
          </w:p>
        </w:tc>
        <w:tc>
          <w:tcPr>
            <w:tcW w:w="1830" w:type="dxa"/>
            <w:tcBorders>
              <w:top w:val="single" w:color="auto" w:sz="4" w:space="0"/>
              <w:left w:val="single" w:color="auto" w:sz="4" w:space="0"/>
              <w:bottom w:val="single" w:color="auto" w:sz="4" w:space="0"/>
              <w:right w:val="single" w:color="auto" w:sz="4" w:space="0"/>
            </w:tcBorders>
            <w:vAlign w:val="center"/>
          </w:tcPr>
          <w:p w14:paraId="58D5C75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p>
        </w:tc>
        <w:tc>
          <w:tcPr>
            <w:tcW w:w="1605" w:type="dxa"/>
            <w:tcBorders>
              <w:top w:val="single" w:color="auto" w:sz="4" w:space="0"/>
              <w:left w:val="single" w:color="auto" w:sz="4" w:space="0"/>
              <w:bottom w:val="single" w:color="auto" w:sz="4" w:space="0"/>
              <w:right w:val="single" w:color="auto" w:sz="4" w:space="0"/>
            </w:tcBorders>
            <w:vAlign w:val="center"/>
          </w:tcPr>
          <w:p w14:paraId="537C171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0AB3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66A59A30">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53BF66E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PH</w:t>
            </w:r>
          </w:p>
        </w:tc>
        <w:tc>
          <w:tcPr>
            <w:tcW w:w="1005" w:type="dxa"/>
            <w:tcBorders>
              <w:top w:val="single" w:color="auto" w:sz="4" w:space="0"/>
              <w:left w:val="single" w:color="auto" w:sz="4" w:space="0"/>
              <w:bottom w:val="single" w:color="auto" w:sz="4" w:space="0"/>
              <w:right w:val="single" w:color="auto" w:sz="4" w:space="0"/>
            </w:tcBorders>
            <w:vAlign w:val="center"/>
          </w:tcPr>
          <w:p w14:paraId="118255C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出水</w:t>
            </w:r>
          </w:p>
        </w:tc>
        <w:tc>
          <w:tcPr>
            <w:tcW w:w="1395" w:type="dxa"/>
            <w:tcBorders>
              <w:top w:val="single" w:color="auto" w:sz="4" w:space="0"/>
              <w:left w:val="single" w:color="auto" w:sz="4" w:space="0"/>
              <w:bottom w:val="single" w:color="auto" w:sz="4" w:space="0"/>
              <w:right w:val="single" w:color="auto" w:sz="4" w:space="0"/>
            </w:tcBorders>
            <w:vAlign w:val="center"/>
          </w:tcPr>
          <w:p w14:paraId="0AF0927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益伦环境</w:t>
            </w:r>
          </w:p>
        </w:tc>
        <w:tc>
          <w:tcPr>
            <w:tcW w:w="1830" w:type="dxa"/>
            <w:tcBorders>
              <w:top w:val="single" w:color="auto" w:sz="4" w:space="0"/>
              <w:left w:val="single" w:color="auto" w:sz="4" w:space="0"/>
              <w:bottom w:val="single" w:color="auto" w:sz="4" w:space="0"/>
              <w:right w:val="single" w:color="auto" w:sz="4" w:space="0"/>
            </w:tcBorders>
            <w:vAlign w:val="center"/>
          </w:tcPr>
          <w:p w14:paraId="5830D8C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p>
        </w:tc>
        <w:tc>
          <w:tcPr>
            <w:tcW w:w="1605" w:type="dxa"/>
            <w:tcBorders>
              <w:top w:val="single" w:color="auto" w:sz="4" w:space="0"/>
              <w:left w:val="single" w:color="auto" w:sz="4" w:space="0"/>
              <w:bottom w:val="single" w:color="auto" w:sz="4" w:space="0"/>
              <w:right w:val="single" w:color="auto" w:sz="4" w:space="0"/>
            </w:tcBorders>
            <w:vAlign w:val="center"/>
          </w:tcPr>
          <w:p w14:paraId="289F40F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268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52BCAB57">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11A9929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数采仪</w:t>
            </w:r>
          </w:p>
        </w:tc>
        <w:tc>
          <w:tcPr>
            <w:tcW w:w="1005" w:type="dxa"/>
            <w:tcBorders>
              <w:top w:val="single" w:color="auto" w:sz="4" w:space="0"/>
              <w:left w:val="single" w:color="auto" w:sz="4" w:space="0"/>
              <w:bottom w:val="single" w:color="auto" w:sz="4" w:space="0"/>
              <w:right w:val="single" w:color="auto" w:sz="4" w:space="0"/>
            </w:tcBorders>
            <w:vAlign w:val="center"/>
          </w:tcPr>
          <w:p w14:paraId="365C823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出</w:t>
            </w:r>
            <w:r>
              <w:rPr>
                <w:rFonts w:hint="eastAsia" w:ascii="宋体" w:hAnsi="宋体" w:eastAsia="宋体" w:cs="宋体"/>
                <w:color w:val="000000"/>
                <w:kern w:val="0"/>
                <w:sz w:val="21"/>
                <w:szCs w:val="21"/>
              </w:rPr>
              <w:t>水</w:t>
            </w:r>
          </w:p>
        </w:tc>
        <w:tc>
          <w:tcPr>
            <w:tcW w:w="1395" w:type="dxa"/>
            <w:tcBorders>
              <w:top w:val="single" w:color="auto" w:sz="4" w:space="0"/>
              <w:left w:val="single" w:color="auto" w:sz="4" w:space="0"/>
              <w:bottom w:val="single" w:color="auto" w:sz="4" w:space="0"/>
              <w:right w:val="single" w:color="auto" w:sz="4" w:space="0"/>
            </w:tcBorders>
            <w:vAlign w:val="center"/>
          </w:tcPr>
          <w:p w14:paraId="49A6B83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highlight w:val="none"/>
                <w:lang w:val="en-US" w:eastAsia="zh-CN"/>
              </w:rPr>
              <w:t>万维盈创</w:t>
            </w:r>
          </w:p>
        </w:tc>
        <w:tc>
          <w:tcPr>
            <w:tcW w:w="1830" w:type="dxa"/>
            <w:tcBorders>
              <w:top w:val="single" w:color="auto" w:sz="4" w:space="0"/>
              <w:left w:val="single" w:color="auto" w:sz="4" w:space="0"/>
              <w:bottom w:val="single" w:color="auto" w:sz="4" w:space="0"/>
              <w:right w:val="single" w:color="auto" w:sz="4" w:space="0"/>
            </w:tcBorders>
            <w:vAlign w:val="center"/>
          </w:tcPr>
          <w:p w14:paraId="7F57158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p>
        </w:tc>
        <w:tc>
          <w:tcPr>
            <w:tcW w:w="1605" w:type="dxa"/>
            <w:tcBorders>
              <w:top w:val="single" w:color="auto" w:sz="4" w:space="0"/>
              <w:left w:val="single" w:color="auto" w:sz="4" w:space="0"/>
              <w:bottom w:val="single" w:color="auto" w:sz="4" w:space="0"/>
              <w:right w:val="single" w:color="auto" w:sz="4" w:space="0"/>
            </w:tcBorders>
            <w:vAlign w:val="center"/>
          </w:tcPr>
          <w:p w14:paraId="1BA0A27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r w14:paraId="10C8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60" w:type="dxa"/>
            <w:vMerge w:val="continue"/>
          </w:tcPr>
          <w:p w14:paraId="2A07194C">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4F02DE4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混采仪</w:t>
            </w:r>
          </w:p>
        </w:tc>
        <w:tc>
          <w:tcPr>
            <w:tcW w:w="1005" w:type="dxa"/>
            <w:tcBorders>
              <w:top w:val="single" w:color="auto" w:sz="4" w:space="0"/>
              <w:left w:val="single" w:color="auto" w:sz="4" w:space="0"/>
              <w:bottom w:val="single" w:color="auto" w:sz="4" w:space="0"/>
              <w:right w:val="single" w:color="auto" w:sz="4" w:space="0"/>
            </w:tcBorders>
            <w:vAlign w:val="center"/>
          </w:tcPr>
          <w:p w14:paraId="3BB74E2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出</w:t>
            </w:r>
            <w:r>
              <w:rPr>
                <w:rFonts w:hint="eastAsia" w:ascii="宋体" w:hAnsi="宋体" w:eastAsia="宋体" w:cs="宋体"/>
                <w:color w:val="000000"/>
                <w:kern w:val="0"/>
                <w:sz w:val="21"/>
                <w:szCs w:val="21"/>
              </w:rPr>
              <w:t>水</w:t>
            </w:r>
          </w:p>
        </w:tc>
        <w:tc>
          <w:tcPr>
            <w:tcW w:w="1395" w:type="dxa"/>
            <w:tcBorders>
              <w:top w:val="single" w:color="auto" w:sz="4" w:space="0"/>
              <w:left w:val="single" w:color="auto" w:sz="4" w:space="0"/>
              <w:bottom w:val="single" w:color="auto" w:sz="4" w:space="0"/>
              <w:right w:val="single" w:color="auto" w:sz="4" w:space="0"/>
            </w:tcBorders>
            <w:vAlign w:val="center"/>
          </w:tcPr>
          <w:p w14:paraId="4B906C7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highlight w:val="none"/>
                <w:lang w:val="en-US" w:eastAsia="zh-CN"/>
              </w:rPr>
              <w:t>万维盈创</w:t>
            </w:r>
          </w:p>
        </w:tc>
        <w:tc>
          <w:tcPr>
            <w:tcW w:w="1830" w:type="dxa"/>
            <w:tcBorders>
              <w:top w:val="single" w:color="auto" w:sz="4" w:space="0"/>
              <w:left w:val="single" w:color="auto" w:sz="4" w:space="0"/>
              <w:bottom w:val="single" w:color="auto" w:sz="4" w:space="0"/>
              <w:right w:val="single" w:color="auto" w:sz="4" w:space="0"/>
            </w:tcBorders>
            <w:vAlign w:val="center"/>
          </w:tcPr>
          <w:p w14:paraId="6E241DD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05" w:type="dxa"/>
            <w:tcBorders>
              <w:top w:val="single" w:color="auto" w:sz="4" w:space="0"/>
              <w:left w:val="single" w:color="auto" w:sz="4" w:space="0"/>
              <w:bottom w:val="single" w:color="auto" w:sz="4" w:space="0"/>
              <w:right w:val="single" w:color="auto" w:sz="4" w:space="0"/>
            </w:tcBorders>
            <w:vAlign w:val="center"/>
          </w:tcPr>
          <w:p w14:paraId="02CEF7C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p>
        </w:tc>
      </w:tr>
    </w:tbl>
    <w:p w14:paraId="2DA4D5ED">
      <w:pPr>
        <w:widowControl w:val="0"/>
        <w:ind w:firstLine="0" w:firstLineChars="0"/>
        <w:jc w:val="both"/>
        <w:rPr>
          <w:rFonts w:hint="eastAsia" w:ascii="宋体" w:hAnsi="宋体" w:eastAsia="宋体" w:cs="宋体"/>
          <w:color w:val="000000"/>
          <w:kern w:val="0"/>
          <w:sz w:val="21"/>
          <w:szCs w:val="21"/>
          <w:lang w:val="en-US" w:eastAsia="zh-CN" w:bidi="ar-SA"/>
        </w:rPr>
      </w:pPr>
    </w:p>
    <w:tbl>
      <w:tblPr>
        <w:tblStyle w:val="44"/>
        <w:tblpPr w:leftFromText="180" w:rightFromText="180" w:vertAnchor="text" w:horzAnchor="page" w:tblpX="2179" w:tblpY="9"/>
        <w:tblOverlap w:val="never"/>
        <w:tblW w:w="7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59"/>
        <w:gridCol w:w="992"/>
        <w:gridCol w:w="1418"/>
        <w:gridCol w:w="1815"/>
        <w:gridCol w:w="1663"/>
      </w:tblGrid>
      <w:tr w14:paraId="6635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Align w:val="center"/>
          </w:tcPr>
          <w:p w14:paraId="03B94A6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厂名</w:t>
            </w:r>
          </w:p>
        </w:tc>
        <w:tc>
          <w:tcPr>
            <w:tcW w:w="959" w:type="dxa"/>
            <w:tcBorders>
              <w:top w:val="single" w:color="auto" w:sz="4" w:space="0"/>
              <w:left w:val="single" w:color="auto" w:sz="4" w:space="0"/>
              <w:bottom w:val="single" w:color="auto" w:sz="4" w:space="0"/>
              <w:right w:val="single" w:color="auto" w:sz="4" w:space="0"/>
            </w:tcBorders>
            <w:vAlign w:val="center"/>
          </w:tcPr>
          <w:p w14:paraId="2B9DD8B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仪表名称</w:t>
            </w:r>
          </w:p>
        </w:tc>
        <w:tc>
          <w:tcPr>
            <w:tcW w:w="992" w:type="dxa"/>
            <w:tcBorders>
              <w:top w:val="single" w:color="auto" w:sz="4" w:space="0"/>
              <w:left w:val="single" w:color="auto" w:sz="4" w:space="0"/>
              <w:bottom w:val="single" w:color="auto" w:sz="4" w:space="0"/>
              <w:right w:val="single" w:color="auto" w:sz="4" w:space="0"/>
            </w:tcBorders>
            <w:vAlign w:val="center"/>
          </w:tcPr>
          <w:p w14:paraId="440FEDB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安装位置</w:t>
            </w:r>
          </w:p>
        </w:tc>
        <w:tc>
          <w:tcPr>
            <w:tcW w:w="1418" w:type="dxa"/>
            <w:tcBorders>
              <w:top w:val="single" w:color="auto" w:sz="4" w:space="0"/>
              <w:left w:val="single" w:color="auto" w:sz="4" w:space="0"/>
              <w:bottom w:val="single" w:color="auto" w:sz="4" w:space="0"/>
              <w:right w:val="single" w:color="auto" w:sz="4" w:space="0"/>
            </w:tcBorders>
            <w:vAlign w:val="center"/>
          </w:tcPr>
          <w:p w14:paraId="56EB7C7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厂家品牌</w:t>
            </w:r>
          </w:p>
        </w:tc>
        <w:tc>
          <w:tcPr>
            <w:tcW w:w="1815" w:type="dxa"/>
            <w:tcBorders>
              <w:top w:val="single" w:color="auto" w:sz="4" w:space="0"/>
              <w:left w:val="single" w:color="auto" w:sz="4" w:space="0"/>
              <w:bottom w:val="single" w:color="auto" w:sz="4" w:space="0"/>
              <w:right w:val="single" w:color="auto" w:sz="4" w:space="0"/>
            </w:tcBorders>
            <w:vAlign w:val="center"/>
          </w:tcPr>
          <w:p w14:paraId="1A0B59F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数量（台）</w:t>
            </w:r>
          </w:p>
        </w:tc>
        <w:tc>
          <w:tcPr>
            <w:tcW w:w="1663" w:type="dxa"/>
            <w:tcBorders>
              <w:top w:val="single" w:color="auto" w:sz="4" w:space="0"/>
              <w:left w:val="single" w:color="auto" w:sz="4" w:space="0"/>
              <w:bottom w:val="single" w:color="auto" w:sz="4" w:space="0"/>
              <w:right w:val="single" w:color="auto" w:sz="4" w:space="0"/>
            </w:tcBorders>
            <w:vAlign w:val="center"/>
          </w:tcPr>
          <w:p w14:paraId="7B39B92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备注</w:t>
            </w:r>
          </w:p>
        </w:tc>
      </w:tr>
      <w:tr w14:paraId="4F7E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restart"/>
            <w:vAlign w:val="center"/>
          </w:tcPr>
          <w:p w14:paraId="09EF65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暮云水质净化厂</w:t>
            </w:r>
          </w:p>
        </w:tc>
        <w:tc>
          <w:tcPr>
            <w:tcW w:w="959" w:type="dxa"/>
            <w:tcBorders>
              <w:top w:val="single" w:color="auto" w:sz="4" w:space="0"/>
              <w:left w:val="single" w:color="auto" w:sz="4" w:space="0"/>
              <w:bottom w:val="single" w:color="auto" w:sz="4" w:space="0"/>
              <w:right w:val="single" w:color="auto" w:sz="4" w:space="0"/>
            </w:tcBorders>
            <w:vAlign w:val="center"/>
          </w:tcPr>
          <w:p w14:paraId="146BB8A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TP</w:t>
            </w:r>
          </w:p>
        </w:tc>
        <w:tc>
          <w:tcPr>
            <w:tcW w:w="992" w:type="dxa"/>
            <w:tcBorders>
              <w:top w:val="single" w:color="auto" w:sz="4" w:space="0"/>
              <w:left w:val="single" w:color="auto" w:sz="4" w:space="0"/>
              <w:bottom w:val="single" w:color="auto" w:sz="4" w:space="0"/>
              <w:right w:val="single" w:color="auto" w:sz="4" w:space="0"/>
            </w:tcBorders>
            <w:vAlign w:val="center"/>
          </w:tcPr>
          <w:p w14:paraId="395B372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0EA294F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15" w:type="dxa"/>
            <w:tcBorders>
              <w:top w:val="single" w:color="auto" w:sz="4" w:space="0"/>
              <w:left w:val="single" w:color="auto" w:sz="4" w:space="0"/>
              <w:bottom w:val="single" w:color="auto" w:sz="4" w:space="0"/>
              <w:right w:val="single" w:color="auto" w:sz="4" w:space="0"/>
            </w:tcBorders>
            <w:vAlign w:val="center"/>
          </w:tcPr>
          <w:p w14:paraId="53AF794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04364B7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2AD5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7577194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5976797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TN</w:t>
            </w:r>
          </w:p>
        </w:tc>
        <w:tc>
          <w:tcPr>
            <w:tcW w:w="992" w:type="dxa"/>
            <w:tcBorders>
              <w:top w:val="single" w:color="auto" w:sz="4" w:space="0"/>
              <w:left w:val="single" w:color="auto" w:sz="4" w:space="0"/>
              <w:bottom w:val="single" w:color="auto" w:sz="4" w:space="0"/>
              <w:right w:val="single" w:color="auto" w:sz="4" w:space="0"/>
            </w:tcBorders>
            <w:vAlign w:val="center"/>
          </w:tcPr>
          <w:p w14:paraId="2B4C393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34025AC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15" w:type="dxa"/>
            <w:tcBorders>
              <w:top w:val="single" w:color="auto" w:sz="4" w:space="0"/>
              <w:left w:val="single" w:color="auto" w:sz="4" w:space="0"/>
              <w:bottom w:val="single" w:color="auto" w:sz="4" w:space="0"/>
              <w:right w:val="single" w:color="auto" w:sz="4" w:space="0"/>
            </w:tcBorders>
            <w:vAlign w:val="center"/>
          </w:tcPr>
          <w:p w14:paraId="084C9B6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12502A9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7FFA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1BA026D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69D8B14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COD</w:t>
            </w:r>
          </w:p>
        </w:tc>
        <w:tc>
          <w:tcPr>
            <w:tcW w:w="992" w:type="dxa"/>
            <w:tcBorders>
              <w:top w:val="single" w:color="auto" w:sz="4" w:space="0"/>
              <w:left w:val="single" w:color="auto" w:sz="4" w:space="0"/>
              <w:bottom w:val="single" w:color="auto" w:sz="4" w:space="0"/>
              <w:right w:val="single" w:color="auto" w:sz="4" w:space="0"/>
            </w:tcBorders>
            <w:vAlign w:val="center"/>
          </w:tcPr>
          <w:p w14:paraId="21F596C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699E904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15" w:type="dxa"/>
            <w:tcBorders>
              <w:top w:val="single" w:color="auto" w:sz="4" w:space="0"/>
              <w:left w:val="single" w:color="auto" w:sz="4" w:space="0"/>
              <w:bottom w:val="single" w:color="auto" w:sz="4" w:space="0"/>
              <w:right w:val="single" w:color="auto" w:sz="4" w:space="0"/>
            </w:tcBorders>
            <w:vAlign w:val="center"/>
          </w:tcPr>
          <w:p w14:paraId="42208EB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5B75AFB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2D09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73A4006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406B370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NH3-N</w:t>
            </w:r>
          </w:p>
        </w:tc>
        <w:tc>
          <w:tcPr>
            <w:tcW w:w="992" w:type="dxa"/>
            <w:tcBorders>
              <w:top w:val="single" w:color="auto" w:sz="4" w:space="0"/>
              <w:left w:val="single" w:color="auto" w:sz="4" w:space="0"/>
              <w:bottom w:val="single" w:color="auto" w:sz="4" w:space="0"/>
              <w:right w:val="single" w:color="auto" w:sz="4" w:space="0"/>
            </w:tcBorders>
            <w:vAlign w:val="center"/>
          </w:tcPr>
          <w:p w14:paraId="7A823E4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367CB95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泽天科技</w:t>
            </w:r>
          </w:p>
        </w:tc>
        <w:tc>
          <w:tcPr>
            <w:tcW w:w="1815" w:type="dxa"/>
            <w:tcBorders>
              <w:top w:val="single" w:color="auto" w:sz="4" w:space="0"/>
              <w:left w:val="single" w:color="auto" w:sz="4" w:space="0"/>
              <w:bottom w:val="single" w:color="auto" w:sz="4" w:space="0"/>
              <w:right w:val="single" w:color="auto" w:sz="4" w:space="0"/>
            </w:tcBorders>
            <w:vAlign w:val="center"/>
          </w:tcPr>
          <w:p w14:paraId="797C762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31D02A1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63FC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61F3D8B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0174747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数采仪</w:t>
            </w:r>
          </w:p>
        </w:tc>
        <w:tc>
          <w:tcPr>
            <w:tcW w:w="992" w:type="dxa"/>
            <w:tcBorders>
              <w:top w:val="single" w:color="auto" w:sz="4" w:space="0"/>
              <w:left w:val="single" w:color="auto" w:sz="4" w:space="0"/>
              <w:bottom w:val="single" w:color="auto" w:sz="4" w:space="0"/>
              <w:right w:val="single" w:color="auto" w:sz="4" w:space="0"/>
            </w:tcBorders>
            <w:vAlign w:val="center"/>
          </w:tcPr>
          <w:p w14:paraId="7312D3A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进</w:t>
            </w:r>
            <w:r>
              <w:rPr>
                <w:rFonts w:hint="eastAsia" w:ascii="宋体" w:hAnsi="宋体" w:eastAsia="宋体" w:cs="宋体"/>
                <w:color w:val="000000"/>
                <w:kern w:val="0"/>
                <w:sz w:val="21"/>
                <w:szCs w:val="21"/>
              </w:rPr>
              <w:t>水</w:t>
            </w:r>
          </w:p>
        </w:tc>
        <w:tc>
          <w:tcPr>
            <w:tcW w:w="1418" w:type="dxa"/>
            <w:tcBorders>
              <w:top w:val="single" w:color="auto" w:sz="4" w:space="0"/>
              <w:left w:val="single" w:color="auto" w:sz="4" w:space="0"/>
              <w:bottom w:val="single" w:color="auto" w:sz="4" w:space="0"/>
              <w:right w:val="single" w:color="auto" w:sz="4" w:space="0"/>
            </w:tcBorders>
            <w:vAlign w:val="center"/>
          </w:tcPr>
          <w:p w14:paraId="4847CD7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万维盈创</w:t>
            </w:r>
          </w:p>
        </w:tc>
        <w:tc>
          <w:tcPr>
            <w:tcW w:w="1815" w:type="dxa"/>
            <w:tcBorders>
              <w:top w:val="single" w:color="auto" w:sz="4" w:space="0"/>
              <w:left w:val="single" w:color="auto" w:sz="4" w:space="0"/>
              <w:bottom w:val="single" w:color="auto" w:sz="4" w:space="0"/>
              <w:right w:val="single" w:color="auto" w:sz="4" w:space="0"/>
            </w:tcBorders>
            <w:vAlign w:val="center"/>
          </w:tcPr>
          <w:p w14:paraId="1420EFF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p>
        </w:tc>
        <w:tc>
          <w:tcPr>
            <w:tcW w:w="1663" w:type="dxa"/>
            <w:tcBorders>
              <w:top w:val="single" w:color="auto" w:sz="4" w:space="0"/>
              <w:left w:val="single" w:color="auto" w:sz="4" w:space="0"/>
              <w:bottom w:val="single" w:color="auto" w:sz="4" w:space="0"/>
              <w:right w:val="single" w:color="auto" w:sz="4" w:space="0"/>
            </w:tcBorders>
            <w:vAlign w:val="center"/>
          </w:tcPr>
          <w:p w14:paraId="0C0AFCC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1D95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57F258C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1C63AC5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混采仪</w:t>
            </w:r>
          </w:p>
        </w:tc>
        <w:tc>
          <w:tcPr>
            <w:tcW w:w="992" w:type="dxa"/>
            <w:tcBorders>
              <w:top w:val="single" w:color="auto" w:sz="4" w:space="0"/>
              <w:left w:val="single" w:color="auto" w:sz="4" w:space="0"/>
              <w:bottom w:val="single" w:color="auto" w:sz="4" w:space="0"/>
              <w:right w:val="single" w:color="auto" w:sz="4" w:space="0"/>
            </w:tcBorders>
            <w:vAlign w:val="center"/>
          </w:tcPr>
          <w:p w14:paraId="3DD3B83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7DEE065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万维盈创</w:t>
            </w:r>
          </w:p>
        </w:tc>
        <w:tc>
          <w:tcPr>
            <w:tcW w:w="1815" w:type="dxa"/>
            <w:tcBorders>
              <w:top w:val="single" w:color="auto" w:sz="4" w:space="0"/>
              <w:left w:val="single" w:color="auto" w:sz="4" w:space="0"/>
              <w:bottom w:val="single" w:color="auto" w:sz="4" w:space="0"/>
              <w:right w:val="single" w:color="auto" w:sz="4" w:space="0"/>
            </w:tcBorders>
            <w:vAlign w:val="center"/>
          </w:tcPr>
          <w:p w14:paraId="494CDCD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723BEA8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27E6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5E88936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5AE0C66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TP</w:t>
            </w:r>
          </w:p>
        </w:tc>
        <w:tc>
          <w:tcPr>
            <w:tcW w:w="992" w:type="dxa"/>
            <w:tcBorders>
              <w:top w:val="single" w:color="auto" w:sz="4" w:space="0"/>
              <w:left w:val="single" w:color="auto" w:sz="4" w:space="0"/>
              <w:bottom w:val="single" w:color="auto" w:sz="4" w:space="0"/>
              <w:right w:val="single" w:color="auto" w:sz="4" w:space="0"/>
            </w:tcBorders>
            <w:vAlign w:val="center"/>
          </w:tcPr>
          <w:p w14:paraId="1BF5392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54414C8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力合</w:t>
            </w:r>
          </w:p>
        </w:tc>
        <w:tc>
          <w:tcPr>
            <w:tcW w:w="1815" w:type="dxa"/>
            <w:tcBorders>
              <w:top w:val="single" w:color="auto" w:sz="4" w:space="0"/>
              <w:left w:val="single" w:color="auto" w:sz="4" w:space="0"/>
              <w:bottom w:val="single" w:color="auto" w:sz="4" w:space="0"/>
              <w:right w:val="single" w:color="auto" w:sz="4" w:space="0"/>
            </w:tcBorders>
            <w:vAlign w:val="center"/>
          </w:tcPr>
          <w:p w14:paraId="74DF440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658E5E54">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1211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0EEB1B7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6AF6AB7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TN</w:t>
            </w:r>
          </w:p>
        </w:tc>
        <w:tc>
          <w:tcPr>
            <w:tcW w:w="992" w:type="dxa"/>
            <w:tcBorders>
              <w:top w:val="single" w:color="auto" w:sz="4" w:space="0"/>
              <w:left w:val="single" w:color="auto" w:sz="4" w:space="0"/>
              <w:bottom w:val="single" w:color="auto" w:sz="4" w:space="0"/>
              <w:right w:val="single" w:color="auto" w:sz="4" w:space="0"/>
            </w:tcBorders>
            <w:vAlign w:val="center"/>
          </w:tcPr>
          <w:p w14:paraId="1E46F22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2A5D431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深圳正奇</w:t>
            </w:r>
          </w:p>
        </w:tc>
        <w:tc>
          <w:tcPr>
            <w:tcW w:w="1815" w:type="dxa"/>
            <w:tcBorders>
              <w:top w:val="single" w:color="auto" w:sz="4" w:space="0"/>
              <w:left w:val="single" w:color="auto" w:sz="4" w:space="0"/>
              <w:bottom w:val="single" w:color="auto" w:sz="4" w:space="0"/>
              <w:right w:val="single" w:color="auto" w:sz="4" w:space="0"/>
            </w:tcBorders>
            <w:vAlign w:val="center"/>
          </w:tcPr>
          <w:p w14:paraId="73ADA01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1504895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4F75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2552EE5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5331EDD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COD</w:t>
            </w:r>
          </w:p>
        </w:tc>
        <w:tc>
          <w:tcPr>
            <w:tcW w:w="992" w:type="dxa"/>
            <w:tcBorders>
              <w:top w:val="single" w:color="auto" w:sz="4" w:space="0"/>
              <w:left w:val="single" w:color="auto" w:sz="4" w:space="0"/>
              <w:bottom w:val="single" w:color="auto" w:sz="4" w:space="0"/>
              <w:right w:val="single" w:color="auto" w:sz="4" w:space="0"/>
            </w:tcBorders>
            <w:vAlign w:val="center"/>
          </w:tcPr>
          <w:p w14:paraId="77A713E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2A976A8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15" w:type="dxa"/>
            <w:tcBorders>
              <w:top w:val="single" w:color="auto" w:sz="4" w:space="0"/>
              <w:left w:val="single" w:color="auto" w:sz="4" w:space="0"/>
              <w:bottom w:val="single" w:color="auto" w:sz="4" w:space="0"/>
              <w:right w:val="single" w:color="auto" w:sz="4" w:space="0"/>
            </w:tcBorders>
            <w:vAlign w:val="center"/>
          </w:tcPr>
          <w:p w14:paraId="6923336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5AEF575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1CEC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2051A8A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200D653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NH3-N</w:t>
            </w:r>
          </w:p>
        </w:tc>
        <w:tc>
          <w:tcPr>
            <w:tcW w:w="992" w:type="dxa"/>
            <w:tcBorders>
              <w:top w:val="single" w:color="auto" w:sz="4" w:space="0"/>
              <w:left w:val="single" w:color="auto" w:sz="4" w:space="0"/>
              <w:bottom w:val="single" w:color="auto" w:sz="4" w:space="0"/>
              <w:right w:val="single" w:color="auto" w:sz="4" w:space="0"/>
            </w:tcBorders>
            <w:vAlign w:val="center"/>
          </w:tcPr>
          <w:p w14:paraId="1C97CCD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20981E4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15" w:type="dxa"/>
            <w:tcBorders>
              <w:top w:val="single" w:color="auto" w:sz="4" w:space="0"/>
              <w:left w:val="single" w:color="auto" w:sz="4" w:space="0"/>
              <w:bottom w:val="single" w:color="auto" w:sz="4" w:space="0"/>
              <w:right w:val="single" w:color="auto" w:sz="4" w:space="0"/>
            </w:tcBorders>
            <w:vAlign w:val="center"/>
          </w:tcPr>
          <w:p w14:paraId="727BB5E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30D0890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6CA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5213BCC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3D9CEBB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PH</w:t>
            </w:r>
          </w:p>
        </w:tc>
        <w:tc>
          <w:tcPr>
            <w:tcW w:w="992" w:type="dxa"/>
            <w:tcBorders>
              <w:top w:val="single" w:color="auto" w:sz="4" w:space="0"/>
              <w:left w:val="single" w:color="auto" w:sz="4" w:space="0"/>
              <w:bottom w:val="single" w:color="auto" w:sz="4" w:space="0"/>
              <w:right w:val="single" w:color="auto" w:sz="4" w:space="0"/>
            </w:tcBorders>
            <w:vAlign w:val="center"/>
          </w:tcPr>
          <w:p w14:paraId="40359E4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2AA2749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15" w:type="dxa"/>
            <w:tcBorders>
              <w:top w:val="single" w:color="auto" w:sz="4" w:space="0"/>
              <w:left w:val="single" w:color="auto" w:sz="4" w:space="0"/>
              <w:bottom w:val="single" w:color="auto" w:sz="4" w:space="0"/>
              <w:right w:val="single" w:color="auto" w:sz="4" w:space="0"/>
            </w:tcBorders>
            <w:vAlign w:val="center"/>
          </w:tcPr>
          <w:p w14:paraId="5AE4145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0308563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1D1F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114CA08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261C9AF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数采仪</w:t>
            </w:r>
          </w:p>
        </w:tc>
        <w:tc>
          <w:tcPr>
            <w:tcW w:w="992" w:type="dxa"/>
            <w:tcBorders>
              <w:top w:val="single" w:color="auto" w:sz="4" w:space="0"/>
              <w:left w:val="single" w:color="auto" w:sz="4" w:space="0"/>
              <w:bottom w:val="single" w:color="auto" w:sz="4" w:space="0"/>
              <w:right w:val="single" w:color="auto" w:sz="4" w:space="0"/>
            </w:tcBorders>
            <w:vAlign w:val="center"/>
          </w:tcPr>
          <w:p w14:paraId="2E3B181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出</w:t>
            </w:r>
            <w:r>
              <w:rPr>
                <w:rFonts w:hint="eastAsia" w:ascii="宋体" w:hAnsi="宋体" w:eastAsia="宋体" w:cs="宋体"/>
                <w:color w:val="000000"/>
                <w:kern w:val="0"/>
                <w:sz w:val="21"/>
                <w:szCs w:val="21"/>
              </w:rPr>
              <w:t>水</w:t>
            </w:r>
          </w:p>
        </w:tc>
        <w:tc>
          <w:tcPr>
            <w:tcW w:w="1418" w:type="dxa"/>
            <w:tcBorders>
              <w:top w:val="single" w:color="auto" w:sz="4" w:space="0"/>
              <w:left w:val="single" w:color="auto" w:sz="4" w:space="0"/>
              <w:bottom w:val="single" w:color="auto" w:sz="4" w:space="0"/>
              <w:right w:val="single" w:color="auto" w:sz="4" w:space="0"/>
            </w:tcBorders>
            <w:vAlign w:val="center"/>
          </w:tcPr>
          <w:p w14:paraId="4316C05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万维盈创</w:t>
            </w:r>
          </w:p>
        </w:tc>
        <w:tc>
          <w:tcPr>
            <w:tcW w:w="1815" w:type="dxa"/>
            <w:tcBorders>
              <w:top w:val="single" w:color="auto" w:sz="4" w:space="0"/>
              <w:left w:val="single" w:color="auto" w:sz="4" w:space="0"/>
              <w:bottom w:val="single" w:color="auto" w:sz="4" w:space="0"/>
              <w:right w:val="single" w:color="auto" w:sz="4" w:space="0"/>
            </w:tcBorders>
            <w:vAlign w:val="center"/>
          </w:tcPr>
          <w:p w14:paraId="644F1A5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663" w:type="dxa"/>
            <w:tcBorders>
              <w:top w:val="single" w:color="auto" w:sz="4" w:space="0"/>
              <w:left w:val="single" w:color="auto" w:sz="4" w:space="0"/>
              <w:bottom w:val="single" w:color="auto" w:sz="4" w:space="0"/>
              <w:right w:val="single" w:color="auto" w:sz="4" w:space="0"/>
            </w:tcBorders>
            <w:vAlign w:val="center"/>
          </w:tcPr>
          <w:p w14:paraId="7AA85EF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34DA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0D81E2E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5CE1E5D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混采仪</w:t>
            </w:r>
          </w:p>
        </w:tc>
        <w:tc>
          <w:tcPr>
            <w:tcW w:w="992" w:type="dxa"/>
            <w:tcBorders>
              <w:top w:val="single" w:color="auto" w:sz="4" w:space="0"/>
              <w:left w:val="single" w:color="auto" w:sz="4" w:space="0"/>
              <w:bottom w:val="single" w:color="auto" w:sz="4" w:space="0"/>
              <w:right w:val="single" w:color="auto" w:sz="4" w:space="0"/>
            </w:tcBorders>
            <w:vAlign w:val="center"/>
          </w:tcPr>
          <w:p w14:paraId="6A69D70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出</w:t>
            </w:r>
            <w:r>
              <w:rPr>
                <w:rFonts w:hint="eastAsia" w:ascii="宋体" w:hAnsi="宋体" w:eastAsia="宋体" w:cs="宋体"/>
                <w:color w:val="000000"/>
                <w:kern w:val="0"/>
                <w:sz w:val="21"/>
                <w:szCs w:val="21"/>
              </w:rPr>
              <w:t>水</w:t>
            </w:r>
          </w:p>
        </w:tc>
        <w:tc>
          <w:tcPr>
            <w:tcW w:w="1418" w:type="dxa"/>
            <w:tcBorders>
              <w:top w:val="single" w:color="auto" w:sz="4" w:space="0"/>
              <w:left w:val="single" w:color="auto" w:sz="4" w:space="0"/>
              <w:bottom w:val="single" w:color="auto" w:sz="4" w:space="0"/>
              <w:right w:val="single" w:color="auto" w:sz="4" w:space="0"/>
            </w:tcBorders>
            <w:vAlign w:val="center"/>
          </w:tcPr>
          <w:p w14:paraId="233C21F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15" w:type="dxa"/>
            <w:tcBorders>
              <w:top w:val="single" w:color="auto" w:sz="4" w:space="0"/>
              <w:left w:val="single" w:color="auto" w:sz="4" w:space="0"/>
              <w:bottom w:val="single" w:color="auto" w:sz="4" w:space="0"/>
              <w:right w:val="single" w:color="auto" w:sz="4" w:space="0"/>
            </w:tcBorders>
            <w:vAlign w:val="center"/>
          </w:tcPr>
          <w:p w14:paraId="02C04DD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0CC1E68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48B1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restart"/>
            <w:vAlign w:val="center"/>
          </w:tcPr>
          <w:p w14:paraId="7059484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雨花</w:t>
            </w:r>
            <w:r>
              <w:rPr>
                <w:rFonts w:hint="eastAsia" w:ascii="宋体" w:hAnsi="宋体" w:eastAsia="宋体" w:cs="宋体"/>
                <w:color w:val="000000"/>
                <w:kern w:val="0"/>
                <w:sz w:val="21"/>
                <w:szCs w:val="21"/>
              </w:rPr>
              <w:t>水质</w:t>
            </w:r>
          </w:p>
          <w:p w14:paraId="0E733F1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净化</w:t>
            </w:r>
          </w:p>
          <w:p w14:paraId="520483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w:t>
            </w:r>
          </w:p>
        </w:tc>
        <w:tc>
          <w:tcPr>
            <w:tcW w:w="959" w:type="dxa"/>
            <w:tcBorders>
              <w:top w:val="single" w:color="auto" w:sz="4" w:space="0"/>
              <w:left w:val="single" w:color="auto" w:sz="4" w:space="0"/>
              <w:bottom w:val="single" w:color="auto" w:sz="4" w:space="0"/>
              <w:right w:val="single" w:color="auto" w:sz="4" w:space="0"/>
            </w:tcBorders>
            <w:vAlign w:val="center"/>
          </w:tcPr>
          <w:p w14:paraId="798318F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TP</w:t>
            </w:r>
          </w:p>
        </w:tc>
        <w:tc>
          <w:tcPr>
            <w:tcW w:w="992" w:type="dxa"/>
            <w:tcBorders>
              <w:top w:val="single" w:color="auto" w:sz="4" w:space="0"/>
              <w:left w:val="single" w:color="auto" w:sz="4" w:space="0"/>
              <w:bottom w:val="single" w:color="auto" w:sz="4" w:space="0"/>
              <w:right w:val="single" w:color="auto" w:sz="4" w:space="0"/>
            </w:tcBorders>
            <w:vAlign w:val="center"/>
          </w:tcPr>
          <w:p w14:paraId="614A092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25086B2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7F7647C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3FD730A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16DC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227F3B6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2FBCFD5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TN</w:t>
            </w:r>
          </w:p>
        </w:tc>
        <w:tc>
          <w:tcPr>
            <w:tcW w:w="992" w:type="dxa"/>
            <w:tcBorders>
              <w:top w:val="single" w:color="auto" w:sz="4" w:space="0"/>
              <w:left w:val="single" w:color="auto" w:sz="4" w:space="0"/>
              <w:bottom w:val="single" w:color="auto" w:sz="4" w:space="0"/>
              <w:right w:val="single" w:color="auto" w:sz="4" w:space="0"/>
            </w:tcBorders>
            <w:vAlign w:val="center"/>
          </w:tcPr>
          <w:p w14:paraId="21E4731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4CAE1E5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741779B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12C2CF0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7680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32BDEF0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7E3F0E8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COD</w:t>
            </w:r>
          </w:p>
        </w:tc>
        <w:tc>
          <w:tcPr>
            <w:tcW w:w="992" w:type="dxa"/>
            <w:tcBorders>
              <w:top w:val="single" w:color="auto" w:sz="4" w:space="0"/>
              <w:left w:val="single" w:color="auto" w:sz="4" w:space="0"/>
              <w:bottom w:val="single" w:color="auto" w:sz="4" w:space="0"/>
              <w:right w:val="single" w:color="auto" w:sz="4" w:space="0"/>
            </w:tcBorders>
            <w:vAlign w:val="center"/>
          </w:tcPr>
          <w:p w14:paraId="2ABCB18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3222209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30BC61E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0FA6C26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5ED2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1B5494E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6111B8C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NH3-N</w:t>
            </w:r>
          </w:p>
        </w:tc>
        <w:tc>
          <w:tcPr>
            <w:tcW w:w="992" w:type="dxa"/>
            <w:tcBorders>
              <w:top w:val="single" w:color="auto" w:sz="4" w:space="0"/>
              <w:left w:val="single" w:color="auto" w:sz="4" w:space="0"/>
              <w:bottom w:val="single" w:color="auto" w:sz="4" w:space="0"/>
              <w:right w:val="single" w:color="auto" w:sz="4" w:space="0"/>
            </w:tcBorders>
            <w:vAlign w:val="center"/>
          </w:tcPr>
          <w:p w14:paraId="25A482A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0998267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79E6E97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09A8276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58E1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036CC92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0008810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数采仪</w:t>
            </w:r>
          </w:p>
        </w:tc>
        <w:tc>
          <w:tcPr>
            <w:tcW w:w="992" w:type="dxa"/>
            <w:tcBorders>
              <w:top w:val="single" w:color="auto" w:sz="4" w:space="0"/>
              <w:left w:val="single" w:color="auto" w:sz="4" w:space="0"/>
              <w:bottom w:val="single" w:color="auto" w:sz="4" w:space="0"/>
              <w:right w:val="single" w:color="auto" w:sz="4" w:space="0"/>
            </w:tcBorders>
            <w:vAlign w:val="center"/>
          </w:tcPr>
          <w:p w14:paraId="4477BE4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进</w:t>
            </w:r>
            <w:r>
              <w:rPr>
                <w:rFonts w:hint="eastAsia" w:ascii="宋体" w:hAnsi="宋体" w:eastAsia="宋体" w:cs="宋体"/>
                <w:color w:val="000000"/>
                <w:kern w:val="0"/>
                <w:sz w:val="21"/>
                <w:szCs w:val="21"/>
              </w:rPr>
              <w:t>水</w:t>
            </w:r>
          </w:p>
        </w:tc>
        <w:tc>
          <w:tcPr>
            <w:tcW w:w="1418" w:type="dxa"/>
            <w:tcBorders>
              <w:top w:val="single" w:color="auto" w:sz="4" w:space="0"/>
              <w:left w:val="single" w:color="auto" w:sz="4" w:space="0"/>
              <w:bottom w:val="single" w:color="auto" w:sz="4" w:space="0"/>
              <w:right w:val="single" w:color="auto" w:sz="4" w:space="0"/>
            </w:tcBorders>
            <w:vAlign w:val="center"/>
          </w:tcPr>
          <w:p w14:paraId="696B487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万维盈创</w:t>
            </w:r>
          </w:p>
        </w:tc>
        <w:tc>
          <w:tcPr>
            <w:tcW w:w="1815" w:type="dxa"/>
            <w:tcBorders>
              <w:top w:val="single" w:color="auto" w:sz="4" w:space="0"/>
              <w:left w:val="single" w:color="auto" w:sz="4" w:space="0"/>
              <w:bottom w:val="single" w:color="auto" w:sz="4" w:space="0"/>
              <w:right w:val="single" w:color="auto" w:sz="4" w:space="0"/>
            </w:tcBorders>
            <w:vAlign w:val="center"/>
          </w:tcPr>
          <w:p w14:paraId="0B51B17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p>
        </w:tc>
        <w:tc>
          <w:tcPr>
            <w:tcW w:w="1663" w:type="dxa"/>
            <w:tcBorders>
              <w:top w:val="single" w:color="auto" w:sz="4" w:space="0"/>
              <w:left w:val="single" w:color="auto" w:sz="4" w:space="0"/>
              <w:bottom w:val="single" w:color="auto" w:sz="4" w:space="0"/>
              <w:right w:val="single" w:color="auto" w:sz="4" w:space="0"/>
            </w:tcBorders>
            <w:vAlign w:val="center"/>
          </w:tcPr>
          <w:p w14:paraId="641F286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6407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17C8488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5E35FC6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混采仪</w:t>
            </w:r>
          </w:p>
        </w:tc>
        <w:tc>
          <w:tcPr>
            <w:tcW w:w="992" w:type="dxa"/>
            <w:tcBorders>
              <w:top w:val="single" w:color="auto" w:sz="4" w:space="0"/>
              <w:left w:val="single" w:color="auto" w:sz="4" w:space="0"/>
              <w:bottom w:val="single" w:color="auto" w:sz="4" w:space="0"/>
              <w:right w:val="single" w:color="auto" w:sz="4" w:space="0"/>
            </w:tcBorders>
            <w:vAlign w:val="center"/>
          </w:tcPr>
          <w:p w14:paraId="264A18F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4741DCB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美国</w:t>
            </w:r>
            <w:r>
              <w:rPr>
                <w:rFonts w:hint="eastAsia" w:ascii="宋体" w:hAnsi="宋体" w:eastAsia="宋体" w:cs="宋体"/>
                <w:color w:val="000000"/>
                <w:kern w:val="0"/>
                <w:sz w:val="21"/>
                <w:szCs w:val="21"/>
                <w:lang w:eastAsia="zh-CN"/>
              </w:rPr>
              <w:t>哈希</w:t>
            </w:r>
          </w:p>
        </w:tc>
        <w:tc>
          <w:tcPr>
            <w:tcW w:w="1815" w:type="dxa"/>
            <w:tcBorders>
              <w:top w:val="single" w:color="auto" w:sz="4" w:space="0"/>
              <w:left w:val="single" w:color="auto" w:sz="4" w:space="0"/>
              <w:bottom w:val="single" w:color="auto" w:sz="4" w:space="0"/>
              <w:right w:val="single" w:color="auto" w:sz="4" w:space="0"/>
            </w:tcBorders>
            <w:vAlign w:val="center"/>
          </w:tcPr>
          <w:p w14:paraId="795DA21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635E8AB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0F57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2453FCD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39C5A46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TP</w:t>
            </w:r>
          </w:p>
        </w:tc>
        <w:tc>
          <w:tcPr>
            <w:tcW w:w="992" w:type="dxa"/>
            <w:tcBorders>
              <w:top w:val="single" w:color="auto" w:sz="4" w:space="0"/>
              <w:left w:val="single" w:color="auto" w:sz="4" w:space="0"/>
              <w:bottom w:val="single" w:color="auto" w:sz="4" w:space="0"/>
              <w:right w:val="single" w:color="auto" w:sz="4" w:space="0"/>
            </w:tcBorders>
            <w:vAlign w:val="center"/>
          </w:tcPr>
          <w:p w14:paraId="290B708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1F7529F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2BF531F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31DFECE2">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21CF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765A187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77EAFE9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TN</w:t>
            </w:r>
          </w:p>
        </w:tc>
        <w:tc>
          <w:tcPr>
            <w:tcW w:w="992" w:type="dxa"/>
            <w:tcBorders>
              <w:top w:val="single" w:color="auto" w:sz="4" w:space="0"/>
              <w:left w:val="single" w:color="auto" w:sz="4" w:space="0"/>
              <w:bottom w:val="single" w:color="auto" w:sz="4" w:space="0"/>
              <w:right w:val="single" w:color="auto" w:sz="4" w:space="0"/>
            </w:tcBorders>
            <w:vAlign w:val="center"/>
          </w:tcPr>
          <w:p w14:paraId="55E6A27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699EF5C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1656C72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29BDF41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1D69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58A7F49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1FFD2C7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COD</w:t>
            </w:r>
          </w:p>
        </w:tc>
        <w:tc>
          <w:tcPr>
            <w:tcW w:w="992" w:type="dxa"/>
            <w:tcBorders>
              <w:top w:val="single" w:color="auto" w:sz="4" w:space="0"/>
              <w:left w:val="single" w:color="auto" w:sz="4" w:space="0"/>
              <w:bottom w:val="single" w:color="auto" w:sz="4" w:space="0"/>
              <w:right w:val="single" w:color="auto" w:sz="4" w:space="0"/>
            </w:tcBorders>
            <w:vAlign w:val="center"/>
          </w:tcPr>
          <w:p w14:paraId="702A7EE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1AAF2B0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15" w:type="dxa"/>
            <w:tcBorders>
              <w:top w:val="single" w:color="auto" w:sz="4" w:space="0"/>
              <w:left w:val="single" w:color="auto" w:sz="4" w:space="0"/>
              <w:bottom w:val="single" w:color="auto" w:sz="4" w:space="0"/>
              <w:right w:val="single" w:color="auto" w:sz="4" w:space="0"/>
            </w:tcBorders>
            <w:vAlign w:val="center"/>
          </w:tcPr>
          <w:p w14:paraId="6F0DA37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0240F07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31BE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52B9C56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55C27FB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NH3-N</w:t>
            </w:r>
          </w:p>
        </w:tc>
        <w:tc>
          <w:tcPr>
            <w:tcW w:w="992" w:type="dxa"/>
            <w:tcBorders>
              <w:top w:val="single" w:color="auto" w:sz="4" w:space="0"/>
              <w:left w:val="single" w:color="auto" w:sz="4" w:space="0"/>
              <w:bottom w:val="single" w:color="auto" w:sz="4" w:space="0"/>
              <w:right w:val="single" w:color="auto" w:sz="4" w:space="0"/>
            </w:tcBorders>
            <w:vAlign w:val="center"/>
          </w:tcPr>
          <w:p w14:paraId="389039F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2DB0263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7F70AB8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37E0A0F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2FF0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23CF7AB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3F298E6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PH</w:t>
            </w:r>
          </w:p>
        </w:tc>
        <w:tc>
          <w:tcPr>
            <w:tcW w:w="992" w:type="dxa"/>
            <w:tcBorders>
              <w:top w:val="single" w:color="auto" w:sz="4" w:space="0"/>
              <w:left w:val="single" w:color="auto" w:sz="4" w:space="0"/>
              <w:bottom w:val="single" w:color="auto" w:sz="4" w:space="0"/>
              <w:right w:val="single" w:color="auto" w:sz="4" w:space="0"/>
            </w:tcBorders>
            <w:vAlign w:val="center"/>
          </w:tcPr>
          <w:p w14:paraId="1F80BA4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1B6FC91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15" w:type="dxa"/>
            <w:tcBorders>
              <w:top w:val="single" w:color="auto" w:sz="4" w:space="0"/>
              <w:left w:val="single" w:color="auto" w:sz="4" w:space="0"/>
              <w:bottom w:val="single" w:color="auto" w:sz="4" w:space="0"/>
              <w:right w:val="single" w:color="auto" w:sz="4" w:space="0"/>
            </w:tcBorders>
            <w:vAlign w:val="center"/>
          </w:tcPr>
          <w:p w14:paraId="0EF70F0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1D051AB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16DC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Align w:val="center"/>
          </w:tcPr>
          <w:p w14:paraId="447AE6A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厂名</w:t>
            </w:r>
          </w:p>
        </w:tc>
        <w:tc>
          <w:tcPr>
            <w:tcW w:w="959" w:type="dxa"/>
            <w:tcBorders>
              <w:top w:val="single" w:color="auto" w:sz="4" w:space="0"/>
              <w:left w:val="single" w:color="auto" w:sz="4" w:space="0"/>
              <w:bottom w:val="single" w:color="auto" w:sz="4" w:space="0"/>
              <w:right w:val="single" w:color="auto" w:sz="4" w:space="0"/>
            </w:tcBorders>
            <w:vAlign w:val="center"/>
          </w:tcPr>
          <w:p w14:paraId="2EACC23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仪表名称</w:t>
            </w:r>
          </w:p>
        </w:tc>
        <w:tc>
          <w:tcPr>
            <w:tcW w:w="992" w:type="dxa"/>
            <w:tcBorders>
              <w:top w:val="single" w:color="auto" w:sz="4" w:space="0"/>
              <w:left w:val="single" w:color="auto" w:sz="4" w:space="0"/>
              <w:bottom w:val="single" w:color="auto" w:sz="4" w:space="0"/>
              <w:right w:val="single" w:color="auto" w:sz="4" w:space="0"/>
            </w:tcBorders>
            <w:vAlign w:val="center"/>
          </w:tcPr>
          <w:p w14:paraId="1D2A017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安装位置</w:t>
            </w:r>
          </w:p>
        </w:tc>
        <w:tc>
          <w:tcPr>
            <w:tcW w:w="1418" w:type="dxa"/>
            <w:tcBorders>
              <w:top w:val="single" w:color="auto" w:sz="4" w:space="0"/>
              <w:left w:val="single" w:color="auto" w:sz="4" w:space="0"/>
              <w:bottom w:val="single" w:color="auto" w:sz="4" w:space="0"/>
              <w:right w:val="single" w:color="auto" w:sz="4" w:space="0"/>
            </w:tcBorders>
            <w:vAlign w:val="center"/>
          </w:tcPr>
          <w:p w14:paraId="76705E3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厂家品牌</w:t>
            </w:r>
          </w:p>
        </w:tc>
        <w:tc>
          <w:tcPr>
            <w:tcW w:w="1815" w:type="dxa"/>
            <w:tcBorders>
              <w:top w:val="single" w:color="auto" w:sz="4" w:space="0"/>
              <w:left w:val="single" w:color="auto" w:sz="4" w:space="0"/>
              <w:bottom w:val="single" w:color="auto" w:sz="4" w:space="0"/>
              <w:right w:val="single" w:color="auto" w:sz="4" w:space="0"/>
            </w:tcBorders>
            <w:vAlign w:val="center"/>
          </w:tcPr>
          <w:p w14:paraId="519F4BC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数量（台）</w:t>
            </w:r>
          </w:p>
        </w:tc>
        <w:tc>
          <w:tcPr>
            <w:tcW w:w="1663" w:type="dxa"/>
            <w:tcBorders>
              <w:top w:val="single" w:color="auto" w:sz="4" w:space="0"/>
              <w:left w:val="single" w:color="auto" w:sz="4" w:space="0"/>
              <w:bottom w:val="single" w:color="auto" w:sz="4" w:space="0"/>
              <w:right w:val="single" w:color="auto" w:sz="4" w:space="0"/>
            </w:tcBorders>
            <w:vAlign w:val="center"/>
          </w:tcPr>
          <w:p w14:paraId="1590AF8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备注</w:t>
            </w:r>
          </w:p>
        </w:tc>
      </w:tr>
      <w:tr w14:paraId="03FD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restart"/>
          </w:tcPr>
          <w:p w14:paraId="7F3FC1B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0990EC9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数采仪</w:t>
            </w:r>
          </w:p>
        </w:tc>
        <w:tc>
          <w:tcPr>
            <w:tcW w:w="992" w:type="dxa"/>
            <w:tcBorders>
              <w:top w:val="single" w:color="auto" w:sz="4" w:space="0"/>
              <w:left w:val="single" w:color="auto" w:sz="4" w:space="0"/>
              <w:bottom w:val="single" w:color="auto" w:sz="4" w:space="0"/>
              <w:right w:val="single" w:color="auto" w:sz="4" w:space="0"/>
            </w:tcBorders>
            <w:vAlign w:val="center"/>
          </w:tcPr>
          <w:p w14:paraId="496F3B1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出</w:t>
            </w:r>
            <w:r>
              <w:rPr>
                <w:rFonts w:hint="eastAsia" w:ascii="宋体" w:hAnsi="宋体" w:eastAsia="宋体" w:cs="宋体"/>
                <w:color w:val="000000"/>
                <w:kern w:val="0"/>
                <w:sz w:val="21"/>
                <w:szCs w:val="21"/>
              </w:rPr>
              <w:t>水</w:t>
            </w:r>
          </w:p>
        </w:tc>
        <w:tc>
          <w:tcPr>
            <w:tcW w:w="1418" w:type="dxa"/>
            <w:tcBorders>
              <w:top w:val="single" w:color="auto" w:sz="4" w:space="0"/>
              <w:left w:val="single" w:color="auto" w:sz="4" w:space="0"/>
              <w:bottom w:val="single" w:color="auto" w:sz="4" w:space="0"/>
              <w:right w:val="single" w:color="auto" w:sz="4" w:space="0"/>
            </w:tcBorders>
            <w:vAlign w:val="center"/>
          </w:tcPr>
          <w:p w14:paraId="7F756F0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万维盈创</w:t>
            </w:r>
          </w:p>
        </w:tc>
        <w:tc>
          <w:tcPr>
            <w:tcW w:w="1815" w:type="dxa"/>
            <w:tcBorders>
              <w:top w:val="single" w:color="auto" w:sz="4" w:space="0"/>
              <w:left w:val="single" w:color="auto" w:sz="4" w:space="0"/>
              <w:bottom w:val="single" w:color="auto" w:sz="4" w:space="0"/>
              <w:right w:val="single" w:color="auto" w:sz="4" w:space="0"/>
            </w:tcBorders>
            <w:vAlign w:val="center"/>
          </w:tcPr>
          <w:p w14:paraId="452709B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663" w:type="dxa"/>
            <w:tcBorders>
              <w:top w:val="single" w:color="auto" w:sz="4" w:space="0"/>
              <w:left w:val="single" w:color="auto" w:sz="4" w:space="0"/>
              <w:bottom w:val="single" w:color="auto" w:sz="4" w:space="0"/>
              <w:right w:val="single" w:color="auto" w:sz="4" w:space="0"/>
            </w:tcBorders>
            <w:vAlign w:val="center"/>
          </w:tcPr>
          <w:p w14:paraId="4A4C7B1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2E8C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4D143C2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1CB3ABF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混采仪</w:t>
            </w:r>
          </w:p>
        </w:tc>
        <w:tc>
          <w:tcPr>
            <w:tcW w:w="992" w:type="dxa"/>
            <w:tcBorders>
              <w:top w:val="single" w:color="auto" w:sz="4" w:space="0"/>
              <w:left w:val="single" w:color="auto" w:sz="4" w:space="0"/>
              <w:bottom w:val="single" w:color="auto" w:sz="4" w:space="0"/>
              <w:right w:val="single" w:color="auto" w:sz="4" w:space="0"/>
            </w:tcBorders>
            <w:vAlign w:val="center"/>
          </w:tcPr>
          <w:p w14:paraId="798F46A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出</w:t>
            </w:r>
            <w:r>
              <w:rPr>
                <w:rFonts w:hint="eastAsia" w:ascii="宋体" w:hAnsi="宋体" w:eastAsia="宋体" w:cs="宋体"/>
                <w:color w:val="000000"/>
                <w:kern w:val="0"/>
                <w:sz w:val="21"/>
                <w:szCs w:val="21"/>
              </w:rPr>
              <w:t>水</w:t>
            </w:r>
          </w:p>
        </w:tc>
        <w:tc>
          <w:tcPr>
            <w:tcW w:w="1418" w:type="dxa"/>
            <w:tcBorders>
              <w:top w:val="single" w:color="auto" w:sz="4" w:space="0"/>
              <w:left w:val="single" w:color="auto" w:sz="4" w:space="0"/>
              <w:bottom w:val="single" w:color="auto" w:sz="4" w:space="0"/>
              <w:right w:val="single" w:color="auto" w:sz="4" w:space="0"/>
            </w:tcBorders>
            <w:vAlign w:val="center"/>
          </w:tcPr>
          <w:p w14:paraId="5405472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万维盈创</w:t>
            </w:r>
          </w:p>
        </w:tc>
        <w:tc>
          <w:tcPr>
            <w:tcW w:w="1815" w:type="dxa"/>
            <w:tcBorders>
              <w:top w:val="single" w:color="auto" w:sz="4" w:space="0"/>
              <w:left w:val="single" w:color="auto" w:sz="4" w:space="0"/>
              <w:bottom w:val="single" w:color="auto" w:sz="4" w:space="0"/>
              <w:right w:val="single" w:color="auto" w:sz="4" w:space="0"/>
            </w:tcBorders>
            <w:vAlign w:val="center"/>
          </w:tcPr>
          <w:p w14:paraId="5D02BC9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7A7407C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r>
      <w:tr w14:paraId="3204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restart"/>
            <w:vAlign w:val="center"/>
          </w:tcPr>
          <w:p w14:paraId="2E73213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新港</w:t>
            </w:r>
          </w:p>
          <w:p w14:paraId="7FEBA8B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水质</w:t>
            </w:r>
          </w:p>
          <w:p w14:paraId="4EDD685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净化</w:t>
            </w:r>
          </w:p>
          <w:p w14:paraId="1A75B5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w:t>
            </w:r>
          </w:p>
        </w:tc>
        <w:tc>
          <w:tcPr>
            <w:tcW w:w="959" w:type="dxa"/>
            <w:tcBorders>
              <w:top w:val="single" w:color="auto" w:sz="4" w:space="0"/>
              <w:left w:val="single" w:color="auto" w:sz="4" w:space="0"/>
              <w:bottom w:val="single" w:color="auto" w:sz="4" w:space="0"/>
              <w:right w:val="single" w:color="auto" w:sz="4" w:space="0"/>
            </w:tcBorders>
            <w:vAlign w:val="center"/>
          </w:tcPr>
          <w:p w14:paraId="12DED19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TP</w:t>
            </w:r>
          </w:p>
        </w:tc>
        <w:tc>
          <w:tcPr>
            <w:tcW w:w="992" w:type="dxa"/>
            <w:tcBorders>
              <w:top w:val="single" w:color="auto" w:sz="4" w:space="0"/>
              <w:left w:val="single" w:color="auto" w:sz="4" w:space="0"/>
              <w:bottom w:val="single" w:color="auto" w:sz="4" w:space="0"/>
              <w:right w:val="single" w:color="auto" w:sz="4" w:space="0"/>
            </w:tcBorders>
            <w:vAlign w:val="center"/>
          </w:tcPr>
          <w:p w14:paraId="72F8920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16020C0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15" w:type="dxa"/>
            <w:tcBorders>
              <w:top w:val="single" w:color="auto" w:sz="4" w:space="0"/>
              <w:left w:val="single" w:color="auto" w:sz="4" w:space="0"/>
              <w:bottom w:val="single" w:color="auto" w:sz="4" w:space="0"/>
              <w:right w:val="single" w:color="auto" w:sz="4" w:space="0"/>
            </w:tcBorders>
            <w:vAlign w:val="center"/>
          </w:tcPr>
          <w:p w14:paraId="39561B6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662770A2">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49EB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31BA34B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47C87B8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TN</w:t>
            </w:r>
          </w:p>
        </w:tc>
        <w:tc>
          <w:tcPr>
            <w:tcW w:w="992" w:type="dxa"/>
            <w:tcBorders>
              <w:top w:val="single" w:color="auto" w:sz="4" w:space="0"/>
              <w:left w:val="single" w:color="auto" w:sz="4" w:space="0"/>
              <w:bottom w:val="single" w:color="auto" w:sz="4" w:space="0"/>
              <w:right w:val="single" w:color="auto" w:sz="4" w:space="0"/>
            </w:tcBorders>
            <w:vAlign w:val="center"/>
          </w:tcPr>
          <w:p w14:paraId="6D758BE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4D330AB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300B99A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69BE7A6B">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rPr>
            </w:pPr>
          </w:p>
        </w:tc>
      </w:tr>
      <w:tr w14:paraId="463C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2A3E6A2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08B22E1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COD</w:t>
            </w:r>
          </w:p>
        </w:tc>
        <w:tc>
          <w:tcPr>
            <w:tcW w:w="992" w:type="dxa"/>
            <w:tcBorders>
              <w:top w:val="single" w:color="auto" w:sz="4" w:space="0"/>
              <w:left w:val="single" w:color="auto" w:sz="4" w:space="0"/>
              <w:bottom w:val="single" w:color="auto" w:sz="4" w:space="0"/>
              <w:right w:val="single" w:color="auto" w:sz="4" w:space="0"/>
            </w:tcBorders>
            <w:vAlign w:val="center"/>
          </w:tcPr>
          <w:p w14:paraId="26DD5B2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72AE09D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深圳朗石</w:t>
            </w:r>
          </w:p>
        </w:tc>
        <w:tc>
          <w:tcPr>
            <w:tcW w:w="1815" w:type="dxa"/>
            <w:tcBorders>
              <w:top w:val="single" w:color="auto" w:sz="4" w:space="0"/>
              <w:left w:val="single" w:color="auto" w:sz="4" w:space="0"/>
              <w:bottom w:val="single" w:color="auto" w:sz="4" w:space="0"/>
              <w:right w:val="single" w:color="auto" w:sz="4" w:space="0"/>
            </w:tcBorders>
            <w:vAlign w:val="center"/>
          </w:tcPr>
          <w:p w14:paraId="560DB49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6EA96AE1">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7F1B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33C8C9A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64DC6E9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NH3-N</w:t>
            </w:r>
          </w:p>
        </w:tc>
        <w:tc>
          <w:tcPr>
            <w:tcW w:w="992" w:type="dxa"/>
            <w:tcBorders>
              <w:top w:val="single" w:color="auto" w:sz="4" w:space="0"/>
              <w:left w:val="single" w:color="auto" w:sz="4" w:space="0"/>
              <w:bottom w:val="single" w:color="auto" w:sz="4" w:space="0"/>
              <w:right w:val="single" w:color="auto" w:sz="4" w:space="0"/>
            </w:tcBorders>
            <w:vAlign w:val="center"/>
          </w:tcPr>
          <w:p w14:paraId="5404F6E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7F900B4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深圳朗石</w:t>
            </w:r>
          </w:p>
        </w:tc>
        <w:tc>
          <w:tcPr>
            <w:tcW w:w="1815" w:type="dxa"/>
            <w:tcBorders>
              <w:top w:val="single" w:color="auto" w:sz="4" w:space="0"/>
              <w:left w:val="single" w:color="auto" w:sz="4" w:space="0"/>
              <w:bottom w:val="single" w:color="auto" w:sz="4" w:space="0"/>
              <w:right w:val="single" w:color="auto" w:sz="4" w:space="0"/>
            </w:tcBorders>
            <w:vAlign w:val="center"/>
          </w:tcPr>
          <w:p w14:paraId="3FFEC5E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22796127">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043D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4BCDA70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382D38D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数采仪</w:t>
            </w:r>
          </w:p>
        </w:tc>
        <w:tc>
          <w:tcPr>
            <w:tcW w:w="992" w:type="dxa"/>
            <w:tcBorders>
              <w:top w:val="single" w:color="auto" w:sz="4" w:space="0"/>
              <w:left w:val="single" w:color="auto" w:sz="4" w:space="0"/>
              <w:bottom w:val="single" w:color="auto" w:sz="4" w:space="0"/>
              <w:right w:val="single" w:color="auto" w:sz="4" w:space="0"/>
            </w:tcBorders>
            <w:vAlign w:val="center"/>
          </w:tcPr>
          <w:p w14:paraId="191BA7E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进</w:t>
            </w:r>
            <w:r>
              <w:rPr>
                <w:rFonts w:hint="eastAsia" w:ascii="宋体" w:hAnsi="宋体" w:eastAsia="宋体" w:cs="宋体"/>
                <w:color w:val="000000"/>
                <w:kern w:val="0"/>
                <w:sz w:val="21"/>
                <w:szCs w:val="21"/>
              </w:rPr>
              <w:t>水</w:t>
            </w:r>
          </w:p>
        </w:tc>
        <w:tc>
          <w:tcPr>
            <w:tcW w:w="1418" w:type="dxa"/>
            <w:tcBorders>
              <w:top w:val="single" w:color="auto" w:sz="4" w:space="0"/>
              <w:left w:val="single" w:color="auto" w:sz="4" w:space="0"/>
              <w:bottom w:val="single" w:color="auto" w:sz="4" w:space="0"/>
              <w:right w:val="single" w:color="auto" w:sz="4" w:space="0"/>
            </w:tcBorders>
            <w:vAlign w:val="center"/>
          </w:tcPr>
          <w:p w14:paraId="2C42F38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万维盈创</w:t>
            </w:r>
          </w:p>
        </w:tc>
        <w:tc>
          <w:tcPr>
            <w:tcW w:w="1815" w:type="dxa"/>
            <w:tcBorders>
              <w:top w:val="single" w:color="auto" w:sz="4" w:space="0"/>
              <w:left w:val="single" w:color="auto" w:sz="4" w:space="0"/>
              <w:bottom w:val="single" w:color="auto" w:sz="4" w:space="0"/>
              <w:right w:val="single" w:color="auto" w:sz="4" w:space="0"/>
            </w:tcBorders>
            <w:vAlign w:val="center"/>
          </w:tcPr>
          <w:p w14:paraId="2E4ADF3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p>
        </w:tc>
        <w:tc>
          <w:tcPr>
            <w:tcW w:w="1663" w:type="dxa"/>
            <w:tcBorders>
              <w:top w:val="single" w:color="auto" w:sz="4" w:space="0"/>
              <w:left w:val="single" w:color="auto" w:sz="4" w:space="0"/>
              <w:bottom w:val="single" w:color="auto" w:sz="4" w:space="0"/>
              <w:right w:val="single" w:color="auto" w:sz="4" w:space="0"/>
            </w:tcBorders>
            <w:vAlign w:val="center"/>
          </w:tcPr>
          <w:p w14:paraId="7EBC045A">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342D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485C3ED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579A3FC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混采仪</w:t>
            </w:r>
          </w:p>
        </w:tc>
        <w:tc>
          <w:tcPr>
            <w:tcW w:w="992" w:type="dxa"/>
            <w:tcBorders>
              <w:top w:val="single" w:color="auto" w:sz="4" w:space="0"/>
              <w:left w:val="single" w:color="auto" w:sz="4" w:space="0"/>
              <w:bottom w:val="single" w:color="auto" w:sz="4" w:space="0"/>
              <w:right w:val="single" w:color="auto" w:sz="4" w:space="0"/>
            </w:tcBorders>
            <w:vAlign w:val="center"/>
          </w:tcPr>
          <w:p w14:paraId="2A97170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进水</w:t>
            </w:r>
          </w:p>
        </w:tc>
        <w:tc>
          <w:tcPr>
            <w:tcW w:w="1418" w:type="dxa"/>
            <w:tcBorders>
              <w:top w:val="single" w:color="auto" w:sz="4" w:space="0"/>
              <w:left w:val="single" w:color="auto" w:sz="4" w:space="0"/>
              <w:bottom w:val="single" w:color="auto" w:sz="4" w:space="0"/>
              <w:right w:val="single" w:color="auto" w:sz="4" w:space="0"/>
            </w:tcBorders>
            <w:vAlign w:val="center"/>
          </w:tcPr>
          <w:p w14:paraId="076A0CC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815" w:type="dxa"/>
            <w:tcBorders>
              <w:top w:val="single" w:color="auto" w:sz="4" w:space="0"/>
              <w:left w:val="single" w:color="auto" w:sz="4" w:space="0"/>
              <w:bottom w:val="single" w:color="auto" w:sz="4" w:space="0"/>
              <w:right w:val="single" w:color="auto" w:sz="4" w:space="0"/>
            </w:tcBorders>
            <w:vAlign w:val="center"/>
          </w:tcPr>
          <w:p w14:paraId="1B15621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28B04E91">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3456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2DD365B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3C2D1FE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TP</w:t>
            </w:r>
          </w:p>
        </w:tc>
        <w:tc>
          <w:tcPr>
            <w:tcW w:w="992" w:type="dxa"/>
            <w:tcBorders>
              <w:top w:val="single" w:color="auto" w:sz="4" w:space="0"/>
              <w:left w:val="single" w:color="auto" w:sz="4" w:space="0"/>
              <w:bottom w:val="single" w:color="auto" w:sz="4" w:space="0"/>
              <w:right w:val="single" w:color="auto" w:sz="4" w:space="0"/>
            </w:tcBorders>
            <w:vAlign w:val="center"/>
          </w:tcPr>
          <w:p w14:paraId="217A8AB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7DA81CB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04912EB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4F0079C7">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rPr>
            </w:pPr>
          </w:p>
        </w:tc>
      </w:tr>
      <w:tr w14:paraId="7D73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10141EE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13A6DAC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TN</w:t>
            </w:r>
          </w:p>
        </w:tc>
        <w:tc>
          <w:tcPr>
            <w:tcW w:w="992" w:type="dxa"/>
            <w:tcBorders>
              <w:top w:val="single" w:color="auto" w:sz="4" w:space="0"/>
              <w:left w:val="single" w:color="auto" w:sz="4" w:space="0"/>
              <w:bottom w:val="single" w:color="auto" w:sz="4" w:space="0"/>
              <w:right w:val="single" w:color="auto" w:sz="4" w:space="0"/>
            </w:tcBorders>
            <w:vAlign w:val="center"/>
          </w:tcPr>
          <w:p w14:paraId="7FAF4E0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035874E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2E8D41E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11A6B56F">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2824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799D4D2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187B155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COD</w:t>
            </w:r>
          </w:p>
        </w:tc>
        <w:tc>
          <w:tcPr>
            <w:tcW w:w="992" w:type="dxa"/>
            <w:tcBorders>
              <w:top w:val="single" w:color="auto" w:sz="4" w:space="0"/>
              <w:left w:val="single" w:color="auto" w:sz="4" w:space="0"/>
              <w:bottom w:val="single" w:color="auto" w:sz="4" w:space="0"/>
              <w:right w:val="single" w:color="auto" w:sz="4" w:space="0"/>
            </w:tcBorders>
            <w:vAlign w:val="center"/>
          </w:tcPr>
          <w:p w14:paraId="4BD42D0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2578306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482851A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3588EF54">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1628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00DEF97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0C67082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NH3-N</w:t>
            </w:r>
          </w:p>
        </w:tc>
        <w:tc>
          <w:tcPr>
            <w:tcW w:w="992" w:type="dxa"/>
            <w:tcBorders>
              <w:top w:val="single" w:color="auto" w:sz="4" w:space="0"/>
              <w:left w:val="single" w:color="auto" w:sz="4" w:space="0"/>
              <w:bottom w:val="single" w:color="auto" w:sz="4" w:space="0"/>
              <w:right w:val="single" w:color="auto" w:sz="4" w:space="0"/>
            </w:tcBorders>
            <w:vAlign w:val="center"/>
          </w:tcPr>
          <w:p w14:paraId="6130DB3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2A03B9A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聚光科技</w:t>
            </w:r>
          </w:p>
        </w:tc>
        <w:tc>
          <w:tcPr>
            <w:tcW w:w="1815" w:type="dxa"/>
            <w:tcBorders>
              <w:top w:val="single" w:color="auto" w:sz="4" w:space="0"/>
              <w:left w:val="single" w:color="auto" w:sz="4" w:space="0"/>
              <w:bottom w:val="single" w:color="auto" w:sz="4" w:space="0"/>
              <w:right w:val="single" w:color="auto" w:sz="4" w:space="0"/>
            </w:tcBorders>
            <w:vAlign w:val="center"/>
          </w:tcPr>
          <w:p w14:paraId="5BE18DA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69869D6B">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0CE7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23A8ED8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714F1A2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PH</w:t>
            </w:r>
          </w:p>
        </w:tc>
        <w:tc>
          <w:tcPr>
            <w:tcW w:w="992" w:type="dxa"/>
            <w:tcBorders>
              <w:top w:val="single" w:color="auto" w:sz="4" w:space="0"/>
              <w:left w:val="single" w:color="auto" w:sz="4" w:space="0"/>
              <w:bottom w:val="single" w:color="auto" w:sz="4" w:space="0"/>
              <w:right w:val="single" w:color="auto" w:sz="4" w:space="0"/>
            </w:tcBorders>
            <w:vAlign w:val="center"/>
          </w:tcPr>
          <w:p w14:paraId="73C5520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出水</w:t>
            </w:r>
          </w:p>
        </w:tc>
        <w:tc>
          <w:tcPr>
            <w:tcW w:w="1418" w:type="dxa"/>
            <w:tcBorders>
              <w:top w:val="single" w:color="auto" w:sz="4" w:space="0"/>
              <w:left w:val="single" w:color="auto" w:sz="4" w:space="0"/>
              <w:bottom w:val="single" w:color="auto" w:sz="4" w:space="0"/>
              <w:right w:val="single" w:color="auto" w:sz="4" w:space="0"/>
            </w:tcBorders>
            <w:vAlign w:val="center"/>
          </w:tcPr>
          <w:p w14:paraId="0707D93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益伦环境</w:t>
            </w:r>
          </w:p>
        </w:tc>
        <w:tc>
          <w:tcPr>
            <w:tcW w:w="1815" w:type="dxa"/>
            <w:tcBorders>
              <w:top w:val="single" w:color="auto" w:sz="4" w:space="0"/>
              <w:left w:val="single" w:color="auto" w:sz="4" w:space="0"/>
              <w:bottom w:val="single" w:color="auto" w:sz="4" w:space="0"/>
              <w:right w:val="single" w:color="auto" w:sz="4" w:space="0"/>
            </w:tcBorders>
            <w:vAlign w:val="center"/>
          </w:tcPr>
          <w:p w14:paraId="6393E94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2B7FE428">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1D91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11DCB27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14E6986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数采仪</w:t>
            </w:r>
          </w:p>
        </w:tc>
        <w:tc>
          <w:tcPr>
            <w:tcW w:w="992" w:type="dxa"/>
            <w:tcBorders>
              <w:top w:val="single" w:color="auto" w:sz="4" w:space="0"/>
              <w:left w:val="single" w:color="auto" w:sz="4" w:space="0"/>
              <w:bottom w:val="single" w:color="auto" w:sz="4" w:space="0"/>
              <w:right w:val="single" w:color="auto" w:sz="4" w:space="0"/>
            </w:tcBorders>
            <w:vAlign w:val="center"/>
          </w:tcPr>
          <w:p w14:paraId="52CD95F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出</w:t>
            </w:r>
            <w:r>
              <w:rPr>
                <w:rFonts w:hint="eastAsia" w:ascii="宋体" w:hAnsi="宋体" w:eastAsia="宋体" w:cs="宋体"/>
                <w:color w:val="000000"/>
                <w:kern w:val="0"/>
                <w:sz w:val="21"/>
                <w:szCs w:val="21"/>
              </w:rPr>
              <w:t>水</w:t>
            </w:r>
          </w:p>
        </w:tc>
        <w:tc>
          <w:tcPr>
            <w:tcW w:w="1418" w:type="dxa"/>
            <w:tcBorders>
              <w:top w:val="single" w:color="auto" w:sz="4" w:space="0"/>
              <w:left w:val="single" w:color="auto" w:sz="4" w:space="0"/>
              <w:bottom w:val="single" w:color="auto" w:sz="4" w:space="0"/>
              <w:right w:val="single" w:color="auto" w:sz="4" w:space="0"/>
            </w:tcBorders>
            <w:vAlign w:val="center"/>
          </w:tcPr>
          <w:p w14:paraId="557AD76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万维盈创</w:t>
            </w:r>
          </w:p>
        </w:tc>
        <w:tc>
          <w:tcPr>
            <w:tcW w:w="1815" w:type="dxa"/>
            <w:tcBorders>
              <w:top w:val="single" w:color="auto" w:sz="4" w:space="0"/>
              <w:left w:val="single" w:color="auto" w:sz="4" w:space="0"/>
              <w:bottom w:val="single" w:color="auto" w:sz="4" w:space="0"/>
              <w:right w:val="single" w:color="auto" w:sz="4" w:space="0"/>
            </w:tcBorders>
            <w:vAlign w:val="center"/>
          </w:tcPr>
          <w:p w14:paraId="6A4527E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663" w:type="dxa"/>
            <w:tcBorders>
              <w:top w:val="single" w:color="auto" w:sz="4" w:space="0"/>
              <w:left w:val="single" w:color="auto" w:sz="4" w:space="0"/>
              <w:bottom w:val="single" w:color="auto" w:sz="4" w:space="0"/>
              <w:right w:val="single" w:color="auto" w:sz="4" w:space="0"/>
            </w:tcBorders>
            <w:vAlign w:val="center"/>
          </w:tcPr>
          <w:p w14:paraId="438669B2">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4C8F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Merge w:val="continue"/>
          </w:tcPr>
          <w:p w14:paraId="6F00CE2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5E5F905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混采仪</w:t>
            </w:r>
          </w:p>
        </w:tc>
        <w:tc>
          <w:tcPr>
            <w:tcW w:w="992" w:type="dxa"/>
            <w:tcBorders>
              <w:top w:val="single" w:color="auto" w:sz="4" w:space="0"/>
              <w:left w:val="single" w:color="auto" w:sz="4" w:space="0"/>
              <w:bottom w:val="single" w:color="auto" w:sz="4" w:space="0"/>
              <w:right w:val="single" w:color="auto" w:sz="4" w:space="0"/>
            </w:tcBorders>
            <w:vAlign w:val="center"/>
          </w:tcPr>
          <w:p w14:paraId="319D883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出</w:t>
            </w:r>
            <w:r>
              <w:rPr>
                <w:rFonts w:hint="eastAsia" w:ascii="宋体" w:hAnsi="宋体" w:eastAsia="宋体" w:cs="宋体"/>
                <w:color w:val="000000"/>
                <w:kern w:val="0"/>
                <w:sz w:val="21"/>
                <w:szCs w:val="21"/>
              </w:rPr>
              <w:t>水</w:t>
            </w:r>
          </w:p>
        </w:tc>
        <w:tc>
          <w:tcPr>
            <w:tcW w:w="1418" w:type="dxa"/>
            <w:tcBorders>
              <w:top w:val="single" w:color="auto" w:sz="4" w:space="0"/>
              <w:left w:val="single" w:color="auto" w:sz="4" w:space="0"/>
              <w:bottom w:val="single" w:color="auto" w:sz="4" w:space="0"/>
              <w:right w:val="single" w:color="auto" w:sz="4" w:space="0"/>
            </w:tcBorders>
            <w:vAlign w:val="center"/>
          </w:tcPr>
          <w:p w14:paraId="4857439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万维盈创</w:t>
            </w:r>
          </w:p>
        </w:tc>
        <w:tc>
          <w:tcPr>
            <w:tcW w:w="1815" w:type="dxa"/>
            <w:tcBorders>
              <w:top w:val="single" w:color="auto" w:sz="4" w:space="0"/>
              <w:left w:val="single" w:color="auto" w:sz="4" w:space="0"/>
              <w:bottom w:val="single" w:color="auto" w:sz="4" w:space="0"/>
              <w:right w:val="single" w:color="auto" w:sz="4" w:space="0"/>
            </w:tcBorders>
            <w:vAlign w:val="center"/>
          </w:tcPr>
          <w:p w14:paraId="7E115D2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14:paraId="08DC5929">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bl>
    <w:p w14:paraId="209BE463">
      <w:pPr>
        <w:widowControl w:val="0"/>
        <w:ind w:firstLine="0" w:firstLineChars="0"/>
        <w:jc w:val="both"/>
        <w:rPr>
          <w:rFonts w:ascii="仿宋" w:hAnsi="仿宋" w:eastAsia="仿宋" w:cs="宋体"/>
          <w:color w:val="000000"/>
          <w:kern w:val="0"/>
          <w:sz w:val="28"/>
          <w:szCs w:val="28"/>
          <w:lang w:val="en-US" w:eastAsia="zh-CN" w:bidi="ar-SA"/>
        </w:rPr>
      </w:pPr>
    </w:p>
    <w:p w14:paraId="4CB498FE">
      <w:pPr>
        <w:widowControl w:val="0"/>
        <w:ind w:firstLine="0" w:firstLineChars="0"/>
        <w:jc w:val="both"/>
        <w:rPr>
          <w:rFonts w:ascii="仿宋" w:hAnsi="仿宋" w:eastAsia="仿宋" w:cs="宋体"/>
          <w:color w:val="000000"/>
          <w:kern w:val="0"/>
          <w:sz w:val="28"/>
          <w:szCs w:val="28"/>
          <w:lang w:val="en-US" w:eastAsia="zh-CN" w:bidi="ar-SA"/>
        </w:rPr>
      </w:pPr>
    </w:p>
    <w:p w14:paraId="0C9BA3A0">
      <w:pPr>
        <w:widowControl w:val="0"/>
        <w:ind w:firstLine="0" w:firstLineChars="0"/>
        <w:jc w:val="both"/>
        <w:rPr>
          <w:rFonts w:ascii="仿宋" w:hAnsi="仿宋" w:eastAsia="仿宋" w:cs="宋体"/>
          <w:color w:val="000000"/>
          <w:kern w:val="0"/>
          <w:sz w:val="28"/>
          <w:szCs w:val="28"/>
          <w:lang w:val="en-US" w:eastAsia="zh-CN" w:bidi="ar-SA"/>
        </w:rPr>
      </w:pPr>
    </w:p>
    <w:p w14:paraId="46F47348">
      <w:pPr>
        <w:widowControl w:val="0"/>
        <w:ind w:firstLine="0" w:firstLineChars="0"/>
        <w:jc w:val="both"/>
        <w:rPr>
          <w:rFonts w:ascii="仿宋" w:hAnsi="仿宋" w:eastAsia="仿宋" w:cs="宋体"/>
          <w:color w:val="000000"/>
          <w:kern w:val="0"/>
          <w:sz w:val="28"/>
          <w:szCs w:val="28"/>
          <w:lang w:val="en-US" w:eastAsia="zh-CN" w:bidi="ar-SA"/>
        </w:rPr>
      </w:pPr>
    </w:p>
    <w:p w14:paraId="3D8A3E79">
      <w:pPr>
        <w:widowControl w:val="0"/>
        <w:ind w:firstLine="0" w:firstLineChars="0"/>
        <w:jc w:val="both"/>
        <w:rPr>
          <w:rFonts w:ascii="仿宋" w:hAnsi="仿宋" w:eastAsia="仿宋" w:cs="宋体"/>
          <w:color w:val="000000"/>
          <w:kern w:val="0"/>
          <w:sz w:val="28"/>
          <w:szCs w:val="28"/>
          <w:lang w:val="en-US" w:eastAsia="zh-CN" w:bidi="ar-SA"/>
        </w:rPr>
      </w:pPr>
    </w:p>
    <w:p w14:paraId="1B820200">
      <w:pPr>
        <w:widowControl w:val="0"/>
        <w:ind w:firstLine="0" w:firstLineChars="0"/>
        <w:jc w:val="both"/>
        <w:rPr>
          <w:rFonts w:ascii="仿宋" w:hAnsi="仿宋" w:eastAsia="仿宋" w:cs="宋体"/>
          <w:color w:val="000000"/>
          <w:kern w:val="0"/>
          <w:sz w:val="28"/>
          <w:szCs w:val="28"/>
          <w:lang w:val="en-US" w:eastAsia="zh-CN" w:bidi="ar-SA"/>
        </w:rPr>
      </w:pPr>
    </w:p>
    <w:p w14:paraId="7254E63E">
      <w:pPr>
        <w:widowControl w:val="0"/>
        <w:ind w:firstLine="0" w:firstLineChars="0"/>
        <w:jc w:val="both"/>
        <w:rPr>
          <w:rFonts w:ascii="仿宋" w:hAnsi="仿宋" w:eastAsia="仿宋" w:cs="宋体"/>
          <w:color w:val="000000"/>
          <w:kern w:val="0"/>
          <w:sz w:val="28"/>
          <w:szCs w:val="28"/>
          <w:lang w:val="en-US" w:eastAsia="zh-CN" w:bidi="ar-SA"/>
        </w:rPr>
      </w:pPr>
    </w:p>
    <w:p w14:paraId="26D294B1">
      <w:pPr>
        <w:widowControl w:val="0"/>
        <w:ind w:firstLine="0" w:firstLineChars="0"/>
        <w:jc w:val="both"/>
        <w:rPr>
          <w:rFonts w:ascii="仿宋" w:hAnsi="仿宋" w:eastAsia="仿宋" w:cs="宋体"/>
          <w:color w:val="000000"/>
          <w:kern w:val="0"/>
          <w:sz w:val="28"/>
          <w:szCs w:val="28"/>
          <w:lang w:val="en-US" w:eastAsia="zh-CN" w:bidi="ar-SA"/>
        </w:rPr>
      </w:pPr>
    </w:p>
    <w:p w14:paraId="03BBDB01">
      <w:pPr>
        <w:widowControl w:val="0"/>
        <w:ind w:firstLine="0" w:firstLineChars="0"/>
        <w:jc w:val="both"/>
        <w:rPr>
          <w:rFonts w:ascii="仿宋" w:hAnsi="仿宋" w:eastAsia="仿宋" w:cs="宋体"/>
          <w:color w:val="000000"/>
          <w:kern w:val="0"/>
          <w:sz w:val="28"/>
          <w:szCs w:val="28"/>
          <w:lang w:val="en-US" w:eastAsia="zh-CN" w:bidi="ar-SA"/>
        </w:rPr>
      </w:pPr>
    </w:p>
    <w:p w14:paraId="198B1DE0">
      <w:pPr>
        <w:rPr>
          <w:rFonts w:hint="eastAsia" w:ascii="仿宋" w:hAnsi="仿宋" w:eastAsia="仿宋" w:cs="Times New Roman"/>
          <w:sz w:val="28"/>
          <w:szCs w:val="28"/>
        </w:rPr>
      </w:pPr>
      <w:r>
        <w:rPr>
          <w:rFonts w:hint="eastAsia" w:ascii="仿宋" w:hAnsi="仿宋" w:eastAsia="仿宋" w:cs="Times New Roman"/>
          <w:sz w:val="28"/>
          <w:szCs w:val="28"/>
        </w:rPr>
        <w:br w:type="page"/>
      </w:r>
    </w:p>
    <w:p w14:paraId="7D8B05D6">
      <w:pPr>
        <w:rPr>
          <w:rFonts w:hint="eastAsia" w:ascii="宋体" w:hAnsi="宋体" w:eastAsia="宋体" w:cs="宋体"/>
          <w:sz w:val="21"/>
          <w:szCs w:val="21"/>
        </w:rPr>
      </w:pPr>
      <w:r>
        <w:rPr>
          <w:rFonts w:hint="eastAsia" w:ascii="宋体" w:hAnsi="宋体" w:eastAsia="宋体" w:cs="宋体"/>
          <w:sz w:val="21"/>
          <w:szCs w:val="21"/>
        </w:rPr>
        <w:t>附件2：</w:t>
      </w:r>
    </w:p>
    <w:p w14:paraId="2B7A90F6">
      <w:pPr>
        <w:rPr>
          <w:rFonts w:hint="eastAsia" w:ascii="宋体" w:hAnsi="宋体" w:eastAsia="宋体" w:cs="宋体"/>
          <w:sz w:val="21"/>
          <w:szCs w:val="21"/>
        </w:rPr>
      </w:pPr>
      <w:r>
        <w:rPr>
          <w:rFonts w:hint="eastAsia" w:ascii="宋体" w:hAnsi="宋体" w:eastAsia="宋体" w:cs="宋体"/>
          <w:sz w:val="21"/>
          <w:szCs w:val="21"/>
        </w:rPr>
        <w:t>长沙市排水有限责任公司进出水在线仪表运营维护考核表</w:t>
      </w:r>
    </w:p>
    <w:tbl>
      <w:tblPr>
        <w:tblStyle w:val="4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6361"/>
        <w:gridCol w:w="1173"/>
        <w:gridCol w:w="1043"/>
      </w:tblGrid>
      <w:tr w14:paraId="4FCA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0D3CE145">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项目</w:t>
            </w:r>
          </w:p>
        </w:tc>
        <w:tc>
          <w:tcPr>
            <w:tcW w:w="6361" w:type="dxa"/>
            <w:tcBorders>
              <w:top w:val="single" w:color="auto" w:sz="4" w:space="0"/>
              <w:left w:val="single" w:color="auto" w:sz="4" w:space="0"/>
              <w:bottom w:val="single" w:color="auto" w:sz="4" w:space="0"/>
              <w:right w:val="single" w:color="auto" w:sz="4" w:space="0"/>
            </w:tcBorders>
            <w:noWrap/>
            <w:vAlign w:val="center"/>
          </w:tcPr>
          <w:p w14:paraId="1185E64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技术服务指标考核内容</w:t>
            </w:r>
          </w:p>
        </w:tc>
        <w:tc>
          <w:tcPr>
            <w:tcW w:w="1173" w:type="dxa"/>
            <w:tcBorders>
              <w:top w:val="single" w:color="auto" w:sz="4" w:space="0"/>
              <w:left w:val="single" w:color="auto" w:sz="4" w:space="0"/>
              <w:bottom w:val="single" w:color="auto" w:sz="4" w:space="0"/>
              <w:right w:val="single" w:color="auto" w:sz="4" w:space="0"/>
            </w:tcBorders>
            <w:noWrap/>
            <w:vAlign w:val="center"/>
          </w:tcPr>
          <w:p w14:paraId="6F541EF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标准分值</w:t>
            </w:r>
          </w:p>
        </w:tc>
        <w:tc>
          <w:tcPr>
            <w:tcW w:w="1043" w:type="dxa"/>
            <w:tcBorders>
              <w:top w:val="single" w:color="auto" w:sz="4" w:space="0"/>
              <w:left w:val="single" w:color="auto" w:sz="4" w:space="0"/>
              <w:bottom w:val="single" w:color="auto" w:sz="4" w:space="0"/>
              <w:right w:val="single" w:color="auto" w:sz="4" w:space="0"/>
            </w:tcBorders>
            <w:noWrap/>
            <w:vAlign w:val="center"/>
          </w:tcPr>
          <w:p w14:paraId="6B53C0A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考评分值</w:t>
            </w:r>
          </w:p>
        </w:tc>
      </w:tr>
      <w:tr w14:paraId="3BC3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6D864C4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361" w:type="dxa"/>
            <w:tcBorders>
              <w:top w:val="single" w:color="auto" w:sz="4" w:space="0"/>
              <w:left w:val="single" w:color="auto" w:sz="4" w:space="0"/>
              <w:bottom w:val="single" w:color="auto" w:sz="4" w:space="0"/>
              <w:right w:val="single" w:color="auto" w:sz="4" w:space="0"/>
            </w:tcBorders>
            <w:noWrap/>
            <w:vAlign w:val="center"/>
          </w:tcPr>
          <w:p w14:paraId="0E689239">
            <w:pPr>
              <w:keepNext w:val="0"/>
              <w:keepLines w:val="0"/>
              <w:suppressLineNumbers w:val="0"/>
              <w:snapToGrid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每次维保的内容需厂部验收后签字确认，并做好巡查记录。发现缺失1次扣1分。</w:t>
            </w:r>
          </w:p>
        </w:tc>
        <w:tc>
          <w:tcPr>
            <w:tcW w:w="1173" w:type="dxa"/>
            <w:tcBorders>
              <w:top w:val="single" w:color="auto" w:sz="4" w:space="0"/>
              <w:left w:val="single" w:color="auto" w:sz="4" w:space="0"/>
              <w:bottom w:val="single" w:color="auto" w:sz="4" w:space="0"/>
              <w:right w:val="single" w:color="auto" w:sz="4" w:space="0"/>
            </w:tcBorders>
            <w:noWrap/>
            <w:vAlign w:val="center"/>
          </w:tcPr>
          <w:p w14:paraId="27E36A8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6分</w:t>
            </w:r>
          </w:p>
        </w:tc>
        <w:tc>
          <w:tcPr>
            <w:tcW w:w="1043" w:type="dxa"/>
            <w:tcBorders>
              <w:top w:val="single" w:color="auto" w:sz="4" w:space="0"/>
              <w:left w:val="single" w:color="auto" w:sz="4" w:space="0"/>
              <w:bottom w:val="single" w:color="auto" w:sz="4" w:space="0"/>
              <w:right w:val="single" w:color="auto" w:sz="4" w:space="0"/>
            </w:tcBorders>
            <w:noWrap/>
            <w:vAlign w:val="center"/>
          </w:tcPr>
          <w:p w14:paraId="226957C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144A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0030BA34">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361" w:type="dxa"/>
            <w:tcBorders>
              <w:top w:val="single" w:color="auto" w:sz="4" w:space="0"/>
              <w:left w:val="single" w:color="auto" w:sz="4" w:space="0"/>
              <w:bottom w:val="single" w:color="auto" w:sz="4" w:space="0"/>
              <w:right w:val="single" w:color="auto" w:sz="4" w:space="0"/>
            </w:tcBorders>
            <w:noWrap/>
            <w:vAlign w:val="center"/>
          </w:tcPr>
          <w:p w14:paraId="7FA1C527">
            <w:pPr>
              <w:keepNext w:val="0"/>
              <w:keepLines w:val="0"/>
              <w:suppressLineNumbers w:val="0"/>
              <w:snapToGrid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远程监控服务（1次/日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，检查数据传输系统是否正常，发现数据有持续异常情况，立即前往站点进行检查。未及时处理每次扣1分。</w:t>
            </w:r>
          </w:p>
        </w:tc>
        <w:tc>
          <w:tcPr>
            <w:tcW w:w="1173" w:type="dxa"/>
            <w:tcBorders>
              <w:top w:val="single" w:color="auto" w:sz="4" w:space="0"/>
              <w:left w:val="single" w:color="auto" w:sz="4" w:space="0"/>
              <w:bottom w:val="single" w:color="auto" w:sz="4" w:space="0"/>
              <w:right w:val="single" w:color="auto" w:sz="4" w:space="0"/>
            </w:tcBorders>
            <w:noWrap/>
            <w:vAlign w:val="center"/>
          </w:tcPr>
          <w:p w14:paraId="01E9330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10分</w:t>
            </w:r>
          </w:p>
        </w:tc>
        <w:tc>
          <w:tcPr>
            <w:tcW w:w="1043" w:type="dxa"/>
            <w:tcBorders>
              <w:top w:val="single" w:color="auto" w:sz="4" w:space="0"/>
              <w:left w:val="single" w:color="auto" w:sz="4" w:space="0"/>
              <w:bottom w:val="single" w:color="auto" w:sz="4" w:space="0"/>
              <w:right w:val="single" w:color="auto" w:sz="4" w:space="0"/>
            </w:tcBorders>
            <w:noWrap/>
            <w:vAlign w:val="center"/>
          </w:tcPr>
          <w:p w14:paraId="6B179A4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628B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52D872F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6361" w:type="dxa"/>
            <w:tcBorders>
              <w:top w:val="single" w:color="auto" w:sz="4" w:space="0"/>
              <w:left w:val="single" w:color="auto" w:sz="4" w:space="0"/>
              <w:bottom w:val="single" w:color="auto" w:sz="4" w:space="0"/>
              <w:right w:val="single" w:color="auto" w:sz="4" w:space="0"/>
            </w:tcBorders>
            <w:noWrap/>
            <w:vAlign w:val="center"/>
          </w:tcPr>
          <w:p w14:paraId="54712142">
            <w:pPr>
              <w:keepNext w:val="0"/>
              <w:keepLines w:val="0"/>
              <w:suppressLineNumbers w:val="0"/>
              <w:spacing w:before="0" w:beforeAutospacing="0" w:after="0" w:afterAutospacing="0"/>
              <w:ind w:left="0" w:right="105" w:rightChars="50"/>
              <w:rPr>
                <w:rFonts w:hint="eastAsia" w:ascii="宋体" w:hAnsi="宋体" w:eastAsia="宋体" w:cs="宋体"/>
                <w:color w:val="000000"/>
                <w:sz w:val="21"/>
                <w:szCs w:val="21"/>
              </w:rPr>
            </w:pPr>
            <w:r>
              <w:rPr>
                <w:rFonts w:hint="eastAsia" w:ascii="宋体" w:hAnsi="宋体" w:eastAsia="宋体" w:cs="宋体"/>
                <w:color w:val="000000"/>
                <w:sz w:val="21"/>
                <w:szCs w:val="21"/>
              </w:rPr>
              <w:t>定期巡检服务（1次/周），巡检内容：a、检查设备及辅助设备运行状态、主要技术参数判断是否正常；b、检查水质预处理、自动采样系统、内部管路是否清洁通畅；c、检查设备电路、通讯系统是否正常；d、对于用电极法测量的设备，检查标液和电极填充液，进行电极清洗；e、检查设备标准液、试剂有效期和余量，及时更换和添加；f、检查数据传输系统，看设备和数采仪、上位机是否一致；g、对于没有自动调零、校正功能的设备进行手动调零、校正。发现有不符合项，按每项次2分扣除。</w:t>
            </w:r>
          </w:p>
        </w:tc>
        <w:tc>
          <w:tcPr>
            <w:tcW w:w="1173" w:type="dxa"/>
            <w:tcBorders>
              <w:top w:val="single" w:color="auto" w:sz="4" w:space="0"/>
              <w:left w:val="single" w:color="auto" w:sz="4" w:space="0"/>
              <w:bottom w:val="single" w:color="auto" w:sz="4" w:space="0"/>
              <w:right w:val="single" w:color="auto" w:sz="4" w:space="0"/>
            </w:tcBorders>
            <w:noWrap/>
            <w:vAlign w:val="center"/>
          </w:tcPr>
          <w:p w14:paraId="294A0869">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10分</w:t>
            </w:r>
          </w:p>
        </w:tc>
        <w:tc>
          <w:tcPr>
            <w:tcW w:w="1043" w:type="dxa"/>
            <w:tcBorders>
              <w:top w:val="single" w:color="auto" w:sz="4" w:space="0"/>
              <w:left w:val="single" w:color="auto" w:sz="4" w:space="0"/>
              <w:bottom w:val="single" w:color="auto" w:sz="4" w:space="0"/>
              <w:right w:val="single" w:color="auto" w:sz="4" w:space="0"/>
            </w:tcBorders>
            <w:noWrap/>
            <w:vAlign w:val="center"/>
          </w:tcPr>
          <w:p w14:paraId="77BBF5AE">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3B16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7CA7B09D">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6361" w:type="dxa"/>
            <w:tcBorders>
              <w:top w:val="single" w:color="auto" w:sz="4" w:space="0"/>
              <w:left w:val="single" w:color="auto" w:sz="4" w:space="0"/>
              <w:bottom w:val="single" w:color="auto" w:sz="4" w:space="0"/>
              <w:right w:val="single" w:color="auto" w:sz="4" w:space="0"/>
            </w:tcBorders>
            <w:noWrap/>
            <w:vAlign w:val="center"/>
          </w:tcPr>
          <w:p w14:paraId="20C9A7C4">
            <w:pPr>
              <w:keepNext w:val="0"/>
              <w:keepLines w:val="0"/>
              <w:suppressLineNumbers w:val="0"/>
              <w:snapToGrid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定期维护服务（1次/月），维护内容：a、清洗取样系统管路、内部管路、各类探头；b、清洗设备计量单元、反应单元、加热单元、检测单元；c、检查各类设备转换系统、曲线是否适用，必要时进行修正；d、对数据存储、控制系统运行状态进行检查；e、在现场进行一次实际样品和质控样检验，检验结果应符合验收规范指标；f、检查设备接地情况。发现有不符合项，按每项次2分扣除。</w:t>
            </w:r>
          </w:p>
        </w:tc>
        <w:tc>
          <w:tcPr>
            <w:tcW w:w="1173" w:type="dxa"/>
            <w:tcBorders>
              <w:top w:val="single" w:color="auto" w:sz="4" w:space="0"/>
              <w:left w:val="single" w:color="auto" w:sz="4" w:space="0"/>
              <w:bottom w:val="single" w:color="auto" w:sz="4" w:space="0"/>
              <w:right w:val="single" w:color="auto" w:sz="4" w:space="0"/>
            </w:tcBorders>
            <w:noWrap/>
            <w:vAlign w:val="center"/>
          </w:tcPr>
          <w:p w14:paraId="11BD049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10分</w:t>
            </w:r>
          </w:p>
        </w:tc>
        <w:tc>
          <w:tcPr>
            <w:tcW w:w="1043" w:type="dxa"/>
            <w:tcBorders>
              <w:top w:val="single" w:color="auto" w:sz="4" w:space="0"/>
              <w:left w:val="single" w:color="auto" w:sz="4" w:space="0"/>
              <w:bottom w:val="single" w:color="auto" w:sz="4" w:space="0"/>
              <w:right w:val="single" w:color="auto" w:sz="4" w:space="0"/>
            </w:tcBorders>
            <w:noWrap/>
            <w:vAlign w:val="center"/>
          </w:tcPr>
          <w:p w14:paraId="63104AD4">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5881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003CFA62">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6361" w:type="dxa"/>
            <w:tcBorders>
              <w:top w:val="single" w:color="auto" w:sz="4" w:space="0"/>
              <w:left w:val="single" w:color="auto" w:sz="4" w:space="0"/>
              <w:bottom w:val="single" w:color="auto" w:sz="4" w:space="0"/>
              <w:right w:val="single" w:color="auto" w:sz="4" w:space="0"/>
            </w:tcBorders>
            <w:noWrap/>
            <w:vAlign w:val="center"/>
          </w:tcPr>
          <w:p w14:paraId="73D6EDD1">
            <w:pPr>
              <w:keepNext w:val="0"/>
              <w:keepLines w:val="0"/>
              <w:suppressLineNumbers w:val="0"/>
              <w:spacing w:before="0" w:beforeAutospacing="0" w:after="0" w:afterAutospacing="0"/>
              <w:ind w:left="0" w:right="105" w:rightChars="50"/>
              <w:rPr>
                <w:rFonts w:hint="eastAsia" w:ascii="宋体" w:hAnsi="宋体" w:eastAsia="宋体" w:cs="宋体"/>
                <w:color w:val="000000"/>
                <w:sz w:val="21"/>
                <w:szCs w:val="21"/>
              </w:rPr>
            </w:pPr>
            <w:r>
              <w:rPr>
                <w:rFonts w:hint="eastAsia" w:ascii="宋体" w:hAnsi="宋体" w:eastAsia="宋体" w:cs="宋体"/>
                <w:color w:val="000000"/>
                <w:sz w:val="21"/>
                <w:szCs w:val="21"/>
              </w:rPr>
              <w:t>定期维护服务（1次/季），维护内容：a、检查各类电磁阀、泵、电极、探头工作状态，必要时进行更换；b、检查各类活塞、密封圈、内部导管、连接头工作状态，必要时进行更换；c、检查设备其他常用易耗品工作状态，进行定期更换； d、设备校正，在现场进行实际样品和质控样检验，检验结果应符合运行技术规范指标；e、检查数据存储、通讯系统工作状态，做好数据备份，保证数据不丢失。发现有不符合项，按每项次2分扣除。</w:t>
            </w:r>
          </w:p>
        </w:tc>
        <w:tc>
          <w:tcPr>
            <w:tcW w:w="1173" w:type="dxa"/>
            <w:tcBorders>
              <w:top w:val="single" w:color="auto" w:sz="4" w:space="0"/>
              <w:left w:val="single" w:color="auto" w:sz="4" w:space="0"/>
              <w:bottom w:val="single" w:color="auto" w:sz="4" w:space="0"/>
              <w:right w:val="single" w:color="auto" w:sz="4" w:space="0"/>
            </w:tcBorders>
            <w:noWrap/>
            <w:vAlign w:val="center"/>
          </w:tcPr>
          <w:p w14:paraId="3589CDB9">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10分</w:t>
            </w:r>
          </w:p>
        </w:tc>
        <w:tc>
          <w:tcPr>
            <w:tcW w:w="1043" w:type="dxa"/>
            <w:tcBorders>
              <w:top w:val="single" w:color="auto" w:sz="4" w:space="0"/>
              <w:left w:val="single" w:color="auto" w:sz="4" w:space="0"/>
              <w:bottom w:val="single" w:color="auto" w:sz="4" w:space="0"/>
              <w:right w:val="single" w:color="auto" w:sz="4" w:space="0"/>
            </w:tcBorders>
            <w:noWrap/>
            <w:vAlign w:val="center"/>
          </w:tcPr>
          <w:p w14:paraId="2666731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5292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58609B1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6361" w:type="dxa"/>
            <w:tcBorders>
              <w:top w:val="single" w:color="auto" w:sz="4" w:space="0"/>
              <w:left w:val="single" w:color="auto" w:sz="4" w:space="0"/>
              <w:bottom w:val="single" w:color="auto" w:sz="4" w:space="0"/>
              <w:right w:val="single" w:color="auto" w:sz="4" w:space="0"/>
            </w:tcBorders>
            <w:noWrap/>
            <w:vAlign w:val="center"/>
          </w:tcPr>
          <w:p w14:paraId="514B0F2E">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整体维护服务，维护内容：a、整体系统进行全面检查、维护，必要时需停用检查；b、配合甲方，接受有资质的检测机构进行抽检及校验。发现有不符合项，按每项次1分扣除。</w:t>
            </w:r>
          </w:p>
        </w:tc>
        <w:tc>
          <w:tcPr>
            <w:tcW w:w="1173" w:type="dxa"/>
            <w:tcBorders>
              <w:top w:val="single" w:color="auto" w:sz="4" w:space="0"/>
              <w:left w:val="single" w:color="auto" w:sz="4" w:space="0"/>
              <w:bottom w:val="single" w:color="auto" w:sz="4" w:space="0"/>
              <w:right w:val="single" w:color="auto" w:sz="4" w:space="0"/>
            </w:tcBorders>
            <w:noWrap/>
            <w:vAlign w:val="center"/>
          </w:tcPr>
          <w:p w14:paraId="2E8368B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7分</w:t>
            </w:r>
          </w:p>
        </w:tc>
        <w:tc>
          <w:tcPr>
            <w:tcW w:w="1043" w:type="dxa"/>
            <w:tcBorders>
              <w:top w:val="single" w:color="auto" w:sz="4" w:space="0"/>
              <w:left w:val="single" w:color="auto" w:sz="4" w:space="0"/>
              <w:bottom w:val="single" w:color="auto" w:sz="4" w:space="0"/>
              <w:right w:val="single" w:color="auto" w:sz="4" w:space="0"/>
            </w:tcBorders>
            <w:noWrap/>
            <w:vAlign w:val="center"/>
          </w:tcPr>
          <w:p w14:paraId="1EDF0759">
            <w:pPr>
              <w:keepNext w:val="0"/>
              <w:keepLines w:val="0"/>
              <w:suppressLineNumbers w:val="0"/>
              <w:snapToGrid w:val="0"/>
              <w:spacing w:before="0" w:beforeAutospacing="0" w:after="0" w:afterAutospacing="0"/>
              <w:ind w:left="0" w:right="0"/>
              <w:rPr>
                <w:rFonts w:hint="eastAsia" w:ascii="宋体" w:hAnsi="宋体" w:eastAsia="宋体" w:cs="宋体"/>
                <w:color w:val="000000"/>
                <w:sz w:val="21"/>
                <w:szCs w:val="21"/>
              </w:rPr>
            </w:pPr>
          </w:p>
        </w:tc>
      </w:tr>
      <w:tr w14:paraId="210C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067D790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6361" w:type="dxa"/>
            <w:tcBorders>
              <w:top w:val="single" w:color="auto" w:sz="4" w:space="0"/>
              <w:left w:val="single" w:color="auto" w:sz="4" w:space="0"/>
              <w:bottom w:val="single" w:color="auto" w:sz="4" w:space="0"/>
              <w:right w:val="single" w:color="auto" w:sz="4" w:space="0"/>
            </w:tcBorders>
            <w:noWrap/>
            <w:vAlign w:val="center"/>
          </w:tcPr>
          <w:p w14:paraId="0124302C">
            <w:pPr>
              <w:keepNext w:val="0"/>
              <w:keepLines w:val="0"/>
              <w:suppressLineNumbers w:val="0"/>
              <w:spacing w:before="0" w:beforeAutospacing="0" w:after="0" w:afterAutospacing="0"/>
              <w:ind w:left="0" w:right="105" w:rightChars="50"/>
              <w:rPr>
                <w:rFonts w:hint="eastAsia" w:ascii="宋体" w:hAnsi="宋体" w:eastAsia="宋体" w:cs="宋体"/>
                <w:color w:val="000000"/>
                <w:sz w:val="21"/>
                <w:szCs w:val="21"/>
              </w:rPr>
            </w:pPr>
            <w:r>
              <w:rPr>
                <w:rFonts w:hint="eastAsia" w:ascii="宋体" w:hAnsi="宋体" w:eastAsia="宋体" w:cs="宋体"/>
                <w:color w:val="000000"/>
                <w:sz w:val="21"/>
                <w:szCs w:val="21"/>
              </w:rPr>
              <w:t>故障处置：a、发现故障须在2小时内进行响应，24小时内到达现场，并找到解决问题的方案；b、如遇到仪表问题需更换备件，由运维方负责提供，并在72小时内恢复仪表正常运行，配件费用由甲方支付，无法及时处理的应安装备用设备；c、如不需更换备件的，要求24小时内解决问题；d、设备进行维修后，使用和运行前应按国家有关技术规定进行校准检查；e、因设备故障导致的在线数据异常，运维方应按要求及时向环保和住建部门报告。未按要求处理仪表故障和报告的，每次扣5-10分。</w:t>
            </w:r>
          </w:p>
        </w:tc>
        <w:tc>
          <w:tcPr>
            <w:tcW w:w="1173" w:type="dxa"/>
            <w:tcBorders>
              <w:top w:val="single" w:color="auto" w:sz="4" w:space="0"/>
              <w:left w:val="single" w:color="auto" w:sz="4" w:space="0"/>
              <w:bottom w:val="single" w:color="auto" w:sz="4" w:space="0"/>
              <w:right w:val="single" w:color="auto" w:sz="4" w:space="0"/>
            </w:tcBorders>
            <w:noWrap/>
            <w:vAlign w:val="center"/>
          </w:tcPr>
          <w:p w14:paraId="206DF62A">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30分</w:t>
            </w:r>
          </w:p>
        </w:tc>
        <w:tc>
          <w:tcPr>
            <w:tcW w:w="1043" w:type="dxa"/>
            <w:tcBorders>
              <w:top w:val="single" w:color="auto" w:sz="4" w:space="0"/>
              <w:left w:val="single" w:color="auto" w:sz="4" w:space="0"/>
              <w:bottom w:val="single" w:color="auto" w:sz="4" w:space="0"/>
              <w:right w:val="single" w:color="auto" w:sz="4" w:space="0"/>
            </w:tcBorders>
            <w:noWrap/>
            <w:vAlign w:val="center"/>
          </w:tcPr>
          <w:p w14:paraId="3EE068AD">
            <w:pPr>
              <w:keepNext w:val="0"/>
              <w:keepLines w:val="0"/>
              <w:suppressLineNumbers w:val="0"/>
              <w:snapToGrid w:val="0"/>
              <w:spacing w:before="0" w:beforeAutospacing="0" w:after="0" w:afterAutospacing="0"/>
              <w:ind w:left="0" w:right="0"/>
              <w:rPr>
                <w:rFonts w:hint="eastAsia" w:ascii="宋体" w:hAnsi="宋体" w:eastAsia="宋体" w:cs="宋体"/>
                <w:color w:val="000000"/>
                <w:sz w:val="21"/>
                <w:szCs w:val="21"/>
              </w:rPr>
            </w:pPr>
          </w:p>
        </w:tc>
      </w:tr>
      <w:tr w14:paraId="5EBE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27ADC9A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6361" w:type="dxa"/>
            <w:tcBorders>
              <w:top w:val="single" w:color="auto" w:sz="4" w:space="0"/>
              <w:left w:val="single" w:color="auto" w:sz="4" w:space="0"/>
              <w:bottom w:val="single" w:color="auto" w:sz="4" w:space="0"/>
              <w:right w:val="single" w:color="auto" w:sz="4" w:space="0"/>
            </w:tcBorders>
            <w:noWrap/>
            <w:vAlign w:val="center"/>
          </w:tcPr>
          <w:p w14:paraId="590FC3D6">
            <w:pPr>
              <w:keepNext w:val="0"/>
              <w:keepLines w:val="0"/>
              <w:suppressLineNumbers w:val="0"/>
              <w:spacing w:before="0" w:beforeAutospacing="0" w:after="0" w:afterAutospacing="0"/>
              <w:ind w:left="0" w:right="105" w:rightChars="50"/>
              <w:rPr>
                <w:rFonts w:hint="eastAsia" w:ascii="宋体" w:hAnsi="宋体" w:eastAsia="宋体" w:cs="宋体"/>
                <w:color w:val="000000"/>
                <w:sz w:val="21"/>
                <w:szCs w:val="21"/>
              </w:rPr>
            </w:pPr>
            <w:r>
              <w:rPr>
                <w:rFonts w:hint="eastAsia" w:ascii="宋体" w:hAnsi="宋体" w:eastAsia="宋体" w:cs="宋体"/>
                <w:color w:val="000000"/>
                <w:sz w:val="21"/>
                <w:szCs w:val="21"/>
              </w:rPr>
              <w:t>需备份的相关技术记录： a、设备校准、实际样品比对、质控样试验的例行记录；b、设备运行报告、定期巡检、维护保养记录；c、设备维护、易耗品的定期更换记录；d、检测机构的检定或检验记录。发现有记录缺失的，每缺失一项扣1分。</w:t>
            </w:r>
          </w:p>
        </w:tc>
        <w:tc>
          <w:tcPr>
            <w:tcW w:w="1173" w:type="dxa"/>
            <w:tcBorders>
              <w:top w:val="single" w:color="auto" w:sz="4" w:space="0"/>
              <w:left w:val="single" w:color="auto" w:sz="4" w:space="0"/>
              <w:bottom w:val="single" w:color="auto" w:sz="4" w:space="0"/>
              <w:right w:val="single" w:color="auto" w:sz="4" w:space="0"/>
            </w:tcBorders>
            <w:noWrap/>
            <w:vAlign w:val="center"/>
          </w:tcPr>
          <w:p w14:paraId="24A1625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10分</w:t>
            </w:r>
          </w:p>
        </w:tc>
        <w:tc>
          <w:tcPr>
            <w:tcW w:w="1043" w:type="dxa"/>
            <w:tcBorders>
              <w:top w:val="single" w:color="auto" w:sz="4" w:space="0"/>
              <w:left w:val="single" w:color="auto" w:sz="4" w:space="0"/>
              <w:bottom w:val="single" w:color="auto" w:sz="4" w:space="0"/>
              <w:right w:val="single" w:color="auto" w:sz="4" w:space="0"/>
            </w:tcBorders>
            <w:noWrap/>
            <w:vAlign w:val="center"/>
          </w:tcPr>
          <w:p w14:paraId="63BB0E8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70FC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5AADE45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6361" w:type="dxa"/>
            <w:tcBorders>
              <w:top w:val="single" w:color="auto" w:sz="4" w:space="0"/>
              <w:left w:val="single" w:color="auto" w:sz="4" w:space="0"/>
              <w:bottom w:val="single" w:color="auto" w:sz="4" w:space="0"/>
              <w:right w:val="single" w:color="auto" w:sz="4" w:space="0"/>
            </w:tcBorders>
            <w:noWrap/>
            <w:vAlign w:val="center"/>
          </w:tcPr>
          <w:p w14:paraId="59AF524E">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每月提供一份在线仪表维护保养报告，并提出合理化建议和相关注意事项。未按时按质提供维护保养报告的扣3分。</w:t>
            </w:r>
          </w:p>
        </w:tc>
        <w:tc>
          <w:tcPr>
            <w:tcW w:w="1173" w:type="dxa"/>
            <w:tcBorders>
              <w:top w:val="single" w:color="auto" w:sz="4" w:space="0"/>
              <w:left w:val="single" w:color="auto" w:sz="4" w:space="0"/>
              <w:bottom w:val="single" w:color="auto" w:sz="4" w:space="0"/>
              <w:right w:val="single" w:color="auto" w:sz="4" w:space="0"/>
            </w:tcBorders>
            <w:noWrap/>
            <w:vAlign w:val="center"/>
          </w:tcPr>
          <w:p w14:paraId="7C84B13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3分</w:t>
            </w:r>
          </w:p>
        </w:tc>
        <w:tc>
          <w:tcPr>
            <w:tcW w:w="1043" w:type="dxa"/>
            <w:tcBorders>
              <w:top w:val="single" w:color="auto" w:sz="4" w:space="0"/>
              <w:left w:val="single" w:color="auto" w:sz="4" w:space="0"/>
              <w:bottom w:val="single" w:color="auto" w:sz="4" w:space="0"/>
              <w:right w:val="single" w:color="auto" w:sz="4" w:space="0"/>
            </w:tcBorders>
            <w:noWrap/>
            <w:vAlign w:val="center"/>
          </w:tcPr>
          <w:p w14:paraId="288821A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41A9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3056FDA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6361" w:type="dxa"/>
            <w:tcBorders>
              <w:top w:val="single" w:color="auto" w:sz="4" w:space="0"/>
              <w:left w:val="single" w:color="auto" w:sz="4" w:space="0"/>
              <w:bottom w:val="single" w:color="auto" w:sz="4" w:space="0"/>
              <w:right w:val="single" w:color="auto" w:sz="4" w:space="0"/>
            </w:tcBorders>
            <w:noWrap/>
            <w:vAlign w:val="center"/>
          </w:tcPr>
          <w:p w14:paraId="0B0C7B50">
            <w:pPr>
              <w:keepNext w:val="0"/>
              <w:keepLines w:val="0"/>
              <w:suppressLineNumbers w:val="0"/>
              <w:spacing w:before="0" w:beforeAutospacing="0" w:after="0" w:afterAutospacing="0"/>
              <w:ind w:left="0" w:right="105" w:rightChars="50"/>
              <w:rPr>
                <w:rFonts w:hint="eastAsia" w:ascii="宋体" w:hAnsi="宋体" w:eastAsia="宋体" w:cs="宋体"/>
                <w:color w:val="000000"/>
                <w:sz w:val="21"/>
                <w:szCs w:val="21"/>
              </w:rPr>
            </w:pPr>
            <w:r>
              <w:rPr>
                <w:rFonts w:hint="eastAsia" w:ascii="宋体" w:hAnsi="宋体" w:eastAsia="宋体" w:cs="宋体"/>
                <w:color w:val="000000"/>
                <w:sz w:val="21"/>
                <w:szCs w:val="21"/>
                <w:lang w:val="zh-CN"/>
              </w:rPr>
              <w:t>季度比对考核要求；</w:t>
            </w:r>
            <w:r>
              <w:rPr>
                <w:rFonts w:hint="eastAsia" w:ascii="宋体" w:hAnsi="宋体" w:eastAsia="宋体" w:cs="宋体"/>
                <w:color w:val="000000"/>
                <w:sz w:val="21"/>
                <w:szCs w:val="21"/>
              </w:rPr>
              <w:t>a、在线仪表比对当日，运维人员未到达现场，并积极配合对方单位进行比对工作的扣2分；b、运维人员未按要求在开始采样后48小时内出具比对结果的扣2分；c、对CODCr、NH3-N、TP、TN、pH水质自动分析仪比对实验结果不满足在线仪表站房管理办法附录C表2技术指标的情况，一个指标一次性扣除运维费用2000元。</w:t>
            </w:r>
          </w:p>
        </w:tc>
        <w:tc>
          <w:tcPr>
            <w:tcW w:w="1173" w:type="dxa"/>
            <w:tcBorders>
              <w:top w:val="single" w:color="auto" w:sz="4" w:space="0"/>
              <w:left w:val="single" w:color="auto" w:sz="4" w:space="0"/>
              <w:bottom w:val="single" w:color="auto" w:sz="4" w:space="0"/>
              <w:right w:val="single" w:color="auto" w:sz="4" w:space="0"/>
            </w:tcBorders>
            <w:noWrap/>
            <w:vAlign w:val="center"/>
          </w:tcPr>
          <w:p w14:paraId="4032E79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4分</w:t>
            </w:r>
          </w:p>
        </w:tc>
        <w:tc>
          <w:tcPr>
            <w:tcW w:w="1043" w:type="dxa"/>
            <w:tcBorders>
              <w:top w:val="single" w:color="auto" w:sz="4" w:space="0"/>
              <w:left w:val="single" w:color="auto" w:sz="4" w:space="0"/>
              <w:bottom w:val="single" w:color="auto" w:sz="4" w:space="0"/>
              <w:right w:val="single" w:color="auto" w:sz="4" w:space="0"/>
            </w:tcBorders>
            <w:noWrap/>
            <w:vAlign w:val="center"/>
          </w:tcPr>
          <w:p w14:paraId="400E44C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6B8D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882" w:type="dxa"/>
            <w:gridSpan w:val="2"/>
            <w:tcBorders>
              <w:top w:val="single" w:color="auto" w:sz="4" w:space="0"/>
              <w:left w:val="single" w:color="auto" w:sz="4" w:space="0"/>
              <w:bottom w:val="single" w:color="auto" w:sz="4" w:space="0"/>
              <w:right w:val="single" w:color="auto" w:sz="4" w:space="0"/>
            </w:tcBorders>
            <w:noWrap/>
            <w:vAlign w:val="center"/>
          </w:tcPr>
          <w:p w14:paraId="6FFB2D8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   计</w:t>
            </w:r>
          </w:p>
        </w:tc>
        <w:tc>
          <w:tcPr>
            <w:tcW w:w="1173" w:type="dxa"/>
            <w:tcBorders>
              <w:top w:val="single" w:color="auto" w:sz="4" w:space="0"/>
              <w:left w:val="single" w:color="auto" w:sz="4" w:space="0"/>
              <w:bottom w:val="single" w:color="auto" w:sz="4" w:space="0"/>
              <w:right w:val="single" w:color="auto" w:sz="4" w:space="0"/>
            </w:tcBorders>
            <w:noWrap/>
            <w:vAlign w:val="center"/>
          </w:tcPr>
          <w:p w14:paraId="2AA907DD">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100分</w:t>
            </w:r>
          </w:p>
        </w:tc>
        <w:tc>
          <w:tcPr>
            <w:tcW w:w="1043" w:type="dxa"/>
            <w:tcBorders>
              <w:top w:val="single" w:color="auto" w:sz="4" w:space="0"/>
              <w:left w:val="single" w:color="auto" w:sz="4" w:space="0"/>
              <w:bottom w:val="single" w:color="auto" w:sz="4" w:space="0"/>
              <w:right w:val="single" w:color="auto" w:sz="4" w:space="0"/>
            </w:tcBorders>
            <w:noWrap/>
            <w:vAlign w:val="center"/>
          </w:tcPr>
          <w:p w14:paraId="7B38A4E9">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1"/>
                <w:szCs w:val="21"/>
              </w:rPr>
            </w:pPr>
          </w:p>
        </w:tc>
      </w:tr>
    </w:tbl>
    <w:p w14:paraId="59DCF2EF">
      <w:pPr>
        <w:shd w:val="clear" w:color="auto" w:fill="FFFFFF"/>
        <w:snapToGrid w:val="0"/>
        <w:ind w:left="720" w:hanging="630" w:hanging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备注：</w:t>
      </w:r>
    </w:p>
    <w:p w14:paraId="622C0408">
      <w:pPr>
        <w:shd w:val="clear" w:color="auto" w:fill="FFFFFF"/>
        <w:snapToGrid w:val="0"/>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1、该考核表由各水质净化厂每月对运维单位考核一次，并由双方签字确定。</w:t>
      </w:r>
    </w:p>
    <w:p w14:paraId="13C41ACA">
      <w:pPr>
        <w:shd w:val="clear" w:color="auto" w:fill="FFFFFF"/>
        <w:snapToGrid w:val="0"/>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2、考核表满分为100分，得分97分以上（含97分）不扣运营维护费，得分97分以下，每扣1分，扣当月运营维护费100元。</w:t>
      </w:r>
    </w:p>
    <w:p w14:paraId="717EE440">
      <w:pPr>
        <w:ind w:right="105" w:rightChars="50" w:firstLine="420" w:firstLineChars="200"/>
        <w:rPr>
          <w:rFonts w:hint="eastAsia" w:ascii="仿宋" w:hAnsi="仿宋" w:eastAsia="仿宋" w:cs="Times New Roman"/>
          <w:color w:val="000000"/>
          <w:sz w:val="24"/>
          <w:szCs w:val="22"/>
        </w:rPr>
      </w:pPr>
      <w:r>
        <w:rPr>
          <w:rFonts w:hint="eastAsia" w:ascii="宋体" w:hAnsi="宋体" w:eastAsia="宋体" w:cs="宋体"/>
          <w:color w:val="000000"/>
          <w:sz w:val="21"/>
          <w:szCs w:val="21"/>
        </w:rPr>
        <w:t>3、扣分明细应详实，需注明扣分原因。</w:t>
      </w:r>
    </w:p>
    <w:p w14:paraId="2D493D7B">
      <w:pPr>
        <w:ind w:right="105" w:rightChars="50" w:firstLine="402" w:firstLineChars="200"/>
        <w:rPr>
          <w:rFonts w:hint="eastAsia" w:ascii="宋体" w:hAnsi="宋体" w:eastAsia="宋体" w:cs="宋体"/>
          <w:b/>
          <w:bCs/>
          <w:color w:val="auto"/>
          <w:spacing w:val="0"/>
          <w:kern w:val="2"/>
          <w:position w:val="0"/>
          <w:sz w:val="20"/>
          <w:szCs w:val="20"/>
          <w:highlight w:val="none"/>
          <w:lang w:val="en-US" w:eastAsia="en-US" w:bidi="ar-SA"/>
        </w:rPr>
      </w:pPr>
    </w:p>
    <w:p w14:paraId="05F3BB6F">
      <w:pPr>
        <w:ind w:right="105" w:rightChars="50" w:firstLine="402" w:firstLineChars="200"/>
        <w:rPr>
          <w:rFonts w:hint="eastAsia" w:ascii="宋体" w:hAnsi="宋体" w:eastAsia="宋体" w:cs="宋体"/>
          <w:b/>
          <w:bCs/>
          <w:color w:val="auto"/>
          <w:spacing w:val="0"/>
          <w:kern w:val="2"/>
          <w:position w:val="0"/>
          <w:sz w:val="20"/>
          <w:szCs w:val="20"/>
          <w:highlight w:val="none"/>
          <w:lang w:val="en-US" w:eastAsia="en-US" w:bidi="ar-SA"/>
        </w:rPr>
      </w:pPr>
    </w:p>
    <w:p w14:paraId="51021C79">
      <w:pPr>
        <w:ind w:right="105" w:rightChars="50" w:firstLine="402" w:firstLineChars="200"/>
        <w:rPr>
          <w:rFonts w:hint="eastAsia" w:ascii="宋体" w:hAnsi="宋体" w:eastAsia="宋体" w:cs="宋体"/>
          <w:b/>
          <w:bCs/>
          <w:color w:val="auto"/>
          <w:spacing w:val="0"/>
          <w:kern w:val="2"/>
          <w:position w:val="0"/>
          <w:sz w:val="20"/>
          <w:szCs w:val="20"/>
          <w:highlight w:val="none"/>
          <w:lang w:val="en-US" w:eastAsia="en-US" w:bidi="ar-SA"/>
        </w:rPr>
      </w:pPr>
      <w:r>
        <w:rPr>
          <w:rFonts w:hint="eastAsia" w:ascii="宋体" w:hAnsi="宋体" w:cs="宋体"/>
          <w:b/>
          <w:bCs/>
          <w:color w:val="auto"/>
          <w:spacing w:val="0"/>
          <w:kern w:val="2"/>
          <w:position w:val="0"/>
          <w:sz w:val="20"/>
          <w:szCs w:val="20"/>
          <w:highlight w:val="none"/>
          <w:lang w:val="en-US" w:eastAsia="zh-CN" w:bidi="ar-SA"/>
        </w:rPr>
        <w:t>注：</w:t>
      </w:r>
      <w:r>
        <w:rPr>
          <w:rFonts w:hint="eastAsia" w:ascii="宋体" w:hAnsi="宋体" w:eastAsia="宋体" w:cs="宋体"/>
          <w:b/>
          <w:bCs/>
          <w:color w:val="auto"/>
          <w:spacing w:val="0"/>
          <w:kern w:val="2"/>
          <w:position w:val="0"/>
          <w:sz w:val="20"/>
          <w:szCs w:val="20"/>
          <w:highlight w:val="none"/>
          <w:lang w:val="en-US" w:eastAsia="en-US" w:bidi="ar-SA"/>
        </w:rPr>
        <w:t>对于</w:t>
      </w:r>
      <w:r>
        <w:rPr>
          <w:rFonts w:hint="eastAsia" w:ascii="宋体" w:hAnsi="宋体" w:cs="宋体"/>
          <w:b/>
          <w:bCs/>
          <w:color w:val="auto"/>
          <w:spacing w:val="0"/>
          <w:kern w:val="2"/>
          <w:position w:val="0"/>
          <w:sz w:val="20"/>
          <w:szCs w:val="20"/>
          <w:highlight w:val="none"/>
          <w:lang w:val="en-US" w:eastAsia="zh-CN" w:bidi="ar-SA"/>
        </w:rPr>
        <w:t>本章节</w:t>
      </w:r>
      <w:r>
        <w:rPr>
          <w:rFonts w:hint="eastAsia" w:ascii="宋体" w:hAnsi="宋体" w:eastAsia="宋体" w:cs="宋体"/>
          <w:b/>
          <w:bCs/>
          <w:color w:val="auto"/>
          <w:spacing w:val="0"/>
          <w:kern w:val="2"/>
          <w:position w:val="0"/>
          <w:sz w:val="20"/>
          <w:szCs w:val="20"/>
          <w:highlight w:val="none"/>
          <w:lang w:val="en-US" w:eastAsia="en-US" w:bidi="ar-SA"/>
        </w:rPr>
        <w:t>上述项目要求，供应商应在响应文件中进行回应，作出承诺及说明。</w:t>
      </w:r>
    </w:p>
    <w:bookmarkEnd w:id="32"/>
    <w:bookmarkEnd w:id="33"/>
    <w:bookmarkEnd w:id="34"/>
    <w:p w14:paraId="3A459C20">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C34E24B">
      <w:pPr>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第五章  响应文件组成</w:t>
      </w:r>
    </w:p>
    <w:p w14:paraId="71BF811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供应商的响应文件应包含以下部分：</w:t>
      </w:r>
    </w:p>
    <w:p w14:paraId="16C7374C">
      <w:pPr>
        <w:adjustRightInd w:val="0"/>
        <w:snapToGrid w:val="0"/>
        <w:spacing w:line="360" w:lineRule="auto"/>
        <w:jc w:val="left"/>
        <w:rPr>
          <w:rFonts w:hint="eastAsia" w:ascii="宋体" w:hAnsi="宋体" w:eastAsia="宋体" w:cs="宋体"/>
          <w:b/>
          <w:color w:val="auto"/>
          <w:szCs w:val="21"/>
          <w:highlight w:val="none"/>
        </w:rPr>
      </w:pPr>
      <w:bookmarkStart w:id="35" w:name="_Toc27431"/>
      <w:bookmarkStart w:id="36" w:name="_Toc30434_WPSOffice_Level2"/>
      <w:bookmarkStart w:id="37" w:name="_Toc24792_WPSOffice_Level2"/>
      <w:r>
        <w:rPr>
          <w:rFonts w:hint="eastAsia" w:ascii="宋体" w:hAnsi="宋体" w:eastAsia="宋体" w:cs="宋体"/>
          <w:b/>
          <w:color w:val="auto"/>
          <w:szCs w:val="21"/>
          <w:highlight w:val="none"/>
        </w:rPr>
        <w:t>一、磋商响应声明</w:t>
      </w:r>
      <w:bookmarkEnd w:id="35"/>
      <w:bookmarkEnd w:id="36"/>
    </w:p>
    <w:p w14:paraId="443F1174">
      <w:pPr>
        <w:adjustRightInd w:val="0"/>
        <w:snapToGrid w:val="0"/>
        <w:spacing w:line="360" w:lineRule="auto"/>
        <w:ind w:firstLine="420" w:firstLineChars="200"/>
        <w:jc w:val="left"/>
        <w:rPr>
          <w:rFonts w:hint="eastAsia" w:ascii="宋体" w:hAnsi="宋体" w:eastAsia="宋体" w:cs="宋体"/>
          <w:color w:val="auto"/>
          <w:szCs w:val="21"/>
          <w:highlight w:val="none"/>
        </w:rPr>
      </w:pPr>
      <w:bookmarkStart w:id="38" w:name="_Toc19147"/>
      <w:r>
        <w:rPr>
          <w:rFonts w:hint="eastAsia" w:ascii="宋体" w:hAnsi="宋体" w:eastAsia="宋体" w:cs="宋体"/>
          <w:color w:val="auto"/>
          <w:szCs w:val="21"/>
          <w:highlight w:val="none"/>
        </w:rPr>
        <w:t>附件1：法定代表人身份证明</w:t>
      </w:r>
      <w:bookmarkEnd w:id="38"/>
    </w:p>
    <w:p w14:paraId="494251ED">
      <w:pPr>
        <w:adjustRightInd w:val="0"/>
        <w:snapToGrid w:val="0"/>
        <w:spacing w:line="360" w:lineRule="auto"/>
        <w:ind w:firstLine="420" w:firstLineChars="200"/>
        <w:jc w:val="left"/>
        <w:rPr>
          <w:rFonts w:hint="eastAsia" w:ascii="宋体" w:hAnsi="宋体" w:eastAsia="宋体" w:cs="宋体"/>
          <w:color w:val="auto"/>
          <w:szCs w:val="21"/>
          <w:highlight w:val="none"/>
        </w:rPr>
      </w:pPr>
      <w:bookmarkStart w:id="39" w:name="_Toc21252"/>
      <w:r>
        <w:rPr>
          <w:rFonts w:hint="eastAsia" w:ascii="宋体" w:hAnsi="宋体" w:eastAsia="宋体" w:cs="宋体"/>
          <w:color w:val="auto"/>
          <w:szCs w:val="21"/>
          <w:highlight w:val="none"/>
        </w:rPr>
        <w:t>附件2：法定代表人授权委托书</w:t>
      </w:r>
      <w:bookmarkEnd w:id="39"/>
    </w:p>
    <w:p w14:paraId="353972BB">
      <w:pPr>
        <w:adjustRightInd w:val="0"/>
        <w:snapToGrid w:val="0"/>
        <w:spacing w:line="360" w:lineRule="auto"/>
        <w:jc w:val="left"/>
        <w:rPr>
          <w:rFonts w:hint="eastAsia" w:ascii="宋体" w:hAnsi="宋体" w:eastAsia="宋体" w:cs="宋体"/>
          <w:b/>
          <w:color w:val="auto"/>
          <w:szCs w:val="21"/>
          <w:highlight w:val="none"/>
          <w:lang w:eastAsia="zh-CN"/>
        </w:rPr>
      </w:pPr>
      <w:bookmarkStart w:id="40" w:name="_Toc30368"/>
      <w:bookmarkStart w:id="41" w:name="_Toc25355_WPSOffice_Level2"/>
      <w:bookmarkStart w:id="42" w:name="_Toc21576"/>
      <w:r>
        <w:rPr>
          <w:rFonts w:hint="eastAsia" w:ascii="宋体" w:hAnsi="宋体" w:eastAsia="宋体" w:cs="宋体"/>
          <w:b/>
          <w:color w:val="auto"/>
          <w:szCs w:val="21"/>
          <w:highlight w:val="none"/>
        </w:rPr>
        <w:t>二、</w:t>
      </w:r>
      <w:bookmarkEnd w:id="40"/>
      <w:r>
        <w:rPr>
          <w:rFonts w:hint="eastAsia" w:ascii="宋体" w:hAnsi="宋体" w:cs="宋体"/>
          <w:b/>
          <w:color w:val="auto"/>
          <w:szCs w:val="21"/>
          <w:highlight w:val="none"/>
          <w:lang w:val="en-US" w:eastAsia="zh-CN"/>
        </w:rPr>
        <w:t>磋商承诺书</w:t>
      </w:r>
    </w:p>
    <w:bookmarkEnd w:id="41"/>
    <w:bookmarkEnd w:id="42"/>
    <w:p w14:paraId="28FC134F">
      <w:pPr>
        <w:pStyle w:val="2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附件3：磋商承诺书</w:t>
      </w:r>
    </w:p>
    <w:p w14:paraId="6A59929D">
      <w:pPr>
        <w:pStyle w:val="22"/>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三、供应商的资格证明资料</w:t>
      </w:r>
    </w:p>
    <w:p w14:paraId="12811B2A">
      <w:pPr>
        <w:pStyle w:val="2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bookmarkStart w:id="43" w:name="_Toc31300"/>
      <w:r>
        <w:rPr>
          <w:rFonts w:hint="eastAsia" w:ascii="宋体" w:hAnsi="宋体" w:eastAsia="宋体" w:cs="宋体"/>
          <w:color w:val="auto"/>
          <w:kern w:val="2"/>
          <w:sz w:val="21"/>
          <w:szCs w:val="21"/>
          <w:highlight w:val="none"/>
          <w:lang w:val="en-US" w:eastAsia="zh-CN" w:bidi="ar-SA"/>
        </w:rPr>
        <w:t>附件4：供应商基本情况表</w:t>
      </w:r>
      <w:bookmarkEnd w:id="43"/>
    </w:p>
    <w:p w14:paraId="534F49B1">
      <w:pPr>
        <w:pStyle w:val="2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bookmarkStart w:id="44" w:name="_Toc24317"/>
      <w:r>
        <w:rPr>
          <w:rFonts w:hint="eastAsia" w:ascii="宋体" w:hAnsi="宋体" w:eastAsia="宋体" w:cs="宋体"/>
          <w:color w:val="auto"/>
          <w:kern w:val="2"/>
          <w:sz w:val="21"/>
          <w:szCs w:val="21"/>
          <w:highlight w:val="none"/>
          <w:lang w:val="en-US" w:eastAsia="zh-CN" w:bidi="ar-SA"/>
        </w:rPr>
        <w:t>附件4-1：磋商文件规定的基本资格条件证明资料</w:t>
      </w:r>
      <w:bookmarkEnd w:id="44"/>
    </w:p>
    <w:p w14:paraId="460DB9DA">
      <w:pPr>
        <w:pStyle w:val="2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bookmarkStart w:id="45" w:name="_Toc1719"/>
      <w:r>
        <w:rPr>
          <w:rFonts w:hint="eastAsia" w:ascii="宋体" w:hAnsi="宋体" w:eastAsia="宋体" w:cs="宋体"/>
          <w:color w:val="auto"/>
          <w:kern w:val="2"/>
          <w:sz w:val="21"/>
          <w:szCs w:val="21"/>
          <w:highlight w:val="none"/>
          <w:lang w:val="en-US" w:eastAsia="zh-CN" w:bidi="ar-SA"/>
        </w:rPr>
        <w:t>附件4-2：磋商文件规定的特定资格条件证明资料</w:t>
      </w:r>
      <w:bookmarkEnd w:id="45"/>
    </w:p>
    <w:p w14:paraId="06EF3E35">
      <w:pPr>
        <w:pStyle w:val="2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bookmarkStart w:id="46" w:name="_Toc16390"/>
      <w:r>
        <w:rPr>
          <w:rFonts w:hint="eastAsia" w:ascii="宋体" w:hAnsi="宋体" w:eastAsia="宋体" w:cs="宋体"/>
          <w:color w:val="auto"/>
          <w:kern w:val="2"/>
          <w:sz w:val="21"/>
          <w:szCs w:val="21"/>
          <w:highlight w:val="none"/>
          <w:lang w:val="en-US" w:eastAsia="zh-CN" w:bidi="ar-SA"/>
        </w:rPr>
        <w:t>附件5：</w:t>
      </w:r>
      <w:bookmarkEnd w:id="46"/>
      <w:r>
        <w:rPr>
          <w:rFonts w:hint="eastAsia" w:ascii="宋体" w:hAnsi="宋体" w:eastAsia="宋体" w:cs="宋体"/>
          <w:color w:val="auto"/>
          <w:kern w:val="2"/>
          <w:sz w:val="21"/>
          <w:szCs w:val="21"/>
          <w:highlight w:val="none"/>
          <w:lang w:val="en-US" w:eastAsia="zh-CN" w:bidi="ar-SA"/>
        </w:rPr>
        <w:t>其他证明资料或说明</w:t>
      </w:r>
    </w:p>
    <w:p w14:paraId="64263A87">
      <w:pPr>
        <w:pStyle w:val="22"/>
        <w:adjustRightInd w:val="0"/>
        <w:snapToGrid w:val="0"/>
        <w:spacing w:line="360" w:lineRule="auto"/>
        <w:rPr>
          <w:rFonts w:hint="eastAsia" w:ascii="宋体" w:hAnsi="宋体" w:eastAsia="宋体" w:cs="宋体"/>
          <w:b/>
          <w:color w:val="auto"/>
          <w:highlight w:val="none"/>
        </w:rPr>
      </w:pPr>
      <w:bookmarkStart w:id="47" w:name="_Toc3569_WPSOffice_Level2"/>
      <w:r>
        <w:rPr>
          <w:rFonts w:hint="eastAsia" w:ascii="宋体" w:hAnsi="宋体" w:eastAsia="宋体" w:cs="宋体"/>
          <w:b/>
          <w:color w:val="auto"/>
          <w:highlight w:val="none"/>
        </w:rPr>
        <w:t>四、</w:t>
      </w:r>
      <w:bookmarkEnd w:id="47"/>
      <w:r>
        <w:rPr>
          <w:rFonts w:hint="eastAsia" w:ascii="宋体" w:hAnsi="宋体" w:eastAsia="宋体" w:cs="宋体"/>
          <w:b/>
          <w:color w:val="auto"/>
          <w:highlight w:val="none"/>
          <w:lang w:val="en-US" w:eastAsia="zh-CN"/>
        </w:rPr>
        <w:t>服务</w:t>
      </w:r>
      <w:r>
        <w:rPr>
          <w:rFonts w:hint="eastAsia" w:ascii="宋体" w:hAnsi="宋体" w:eastAsia="宋体" w:cs="宋体"/>
          <w:b/>
          <w:color w:val="auto"/>
          <w:highlight w:val="none"/>
        </w:rPr>
        <w:t>方案说明</w:t>
      </w:r>
    </w:p>
    <w:p w14:paraId="6441FC17">
      <w:pPr>
        <w:pStyle w:val="22"/>
        <w:adjustRightInd w:val="0"/>
        <w:snapToGrid w:val="0"/>
        <w:spacing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hAnsi="宋体" w:cs="宋体"/>
          <w:color w:val="auto"/>
          <w:highlight w:val="none"/>
          <w:lang w:val="en-US" w:eastAsia="zh-CN"/>
        </w:rPr>
        <w:t>6</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方案说明</w:t>
      </w:r>
    </w:p>
    <w:p w14:paraId="750CBF95">
      <w:pPr>
        <w:pStyle w:val="22"/>
        <w:adjustRightInd w:val="0"/>
        <w:snapToGrid w:val="0"/>
        <w:spacing w:line="360" w:lineRule="auto"/>
        <w:ind w:firstLine="435"/>
        <w:rPr>
          <w:rFonts w:hint="eastAsia" w:ascii="宋体" w:hAnsi="宋体" w:eastAsia="宋体" w:cs="宋体"/>
          <w:b/>
          <w:color w:val="auto"/>
          <w:highlight w:val="none"/>
        </w:rPr>
      </w:pPr>
      <w:r>
        <w:rPr>
          <w:rFonts w:hint="eastAsia" w:ascii="宋体" w:hAnsi="宋体" w:eastAsia="宋体" w:cs="宋体"/>
          <w:color w:val="auto"/>
          <w:highlight w:val="none"/>
        </w:rPr>
        <w:t>附件</w:t>
      </w:r>
      <w:r>
        <w:rPr>
          <w:rFonts w:hint="eastAsia" w:hAnsi="宋体" w:cs="宋体"/>
          <w:color w:val="auto"/>
          <w:highlight w:val="none"/>
          <w:lang w:val="en-US" w:eastAsia="zh-CN"/>
        </w:rPr>
        <w:t>6</w:t>
      </w:r>
      <w:r>
        <w:rPr>
          <w:rFonts w:hint="eastAsia" w:ascii="宋体" w:hAnsi="宋体" w:eastAsia="宋体" w:cs="宋体"/>
          <w:color w:val="auto"/>
          <w:highlight w:val="none"/>
        </w:rPr>
        <w:t>-2：主要人员简历表</w:t>
      </w:r>
    </w:p>
    <w:p w14:paraId="391F3187">
      <w:pPr>
        <w:adjustRightInd w:val="0"/>
        <w:snapToGrid w:val="0"/>
        <w:spacing w:line="360" w:lineRule="auto"/>
        <w:rPr>
          <w:rFonts w:hint="eastAsia" w:ascii="宋体" w:hAnsi="宋体" w:eastAsia="宋体" w:cs="宋体"/>
          <w:b/>
          <w:color w:val="auto"/>
          <w:highlight w:val="none"/>
        </w:rPr>
      </w:pPr>
      <w:bookmarkStart w:id="48" w:name="_Toc16737_WPSOffice_Level2"/>
      <w:r>
        <w:rPr>
          <w:rFonts w:hint="eastAsia" w:ascii="宋体" w:hAnsi="宋体" w:eastAsia="宋体" w:cs="宋体"/>
          <w:b/>
          <w:color w:val="auto"/>
          <w:highlight w:val="none"/>
        </w:rPr>
        <w:t>五、技术/商务响应与偏离表</w:t>
      </w:r>
      <w:bookmarkEnd w:id="48"/>
    </w:p>
    <w:p w14:paraId="11606250">
      <w:pPr>
        <w:pStyle w:val="22"/>
        <w:adjustRightInd w:val="0"/>
        <w:snapToGrid w:val="0"/>
        <w:spacing w:line="360" w:lineRule="auto"/>
        <w:rPr>
          <w:rFonts w:hint="eastAsia" w:ascii="宋体" w:hAnsi="宋体" w:eastAsia="宋体" w:cs="宋体"/>
          <w:b/>
          <w:color w:val="auto"/>
          <w:highlight w:val="none"/>
        </w:rPr>
      </w:pPr>
      <w:bookmarkStart w:id="49" w:name="_Toc28727_WPSOffice_Level2"/>
      <w:r>
        <w:rPr>
          <w:rFonts w:hint="eastAsia" w:ascii="宋体" w:hAnsi="宋体" w:eastAsia="宋体" w:cs="宋体"/>
          <w:b/>
          <w:color w:val="auto"/>
          <w:highlight w:val="none"/>
        </w:rPr>
        <w:t>六、报价一览表</w:t>
      </w:r>
      <w:bookmarkEnd w:id="49"/>
    </w:p>
    <w:p w14:paraId="797FCFEA">
      <w:pPr>
        <w:adjustRightInd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bookmarkStart w:id="50" w:name="_Toc11285"/>
      <w:bookmarkStart w:id="51" w:name="_Toc32578_WPSOffice_Level2"/>
      <w:r>
        <w:rPr>
          <w:rFonts w:hint="eastAsia" w:ascii="宋体" w:hAnsi="宋体" w:eastAsia="宋体" w:cs="宋体"/>
          <w:color w:val="auto"/>
          <w:kern w:val="2"/>
          <w:sz w:val="21"/>
          <w:szCs w:val="21"/>
          <w:highlight w:val="none"/>
          <w:lang w:val="en-US" w:eastAsia="zh-CN" w:bidi="ar-SA"/>
        </w:rPr>
        <w:t>附件</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-1：报价一览表</w:t>
      </w:r>
      <w:bookmarkEnd w:id="50"/>
    </w:p>
    <w:p w14:paraId="2BA15D29">
      <w:pPr>
        <w:adjustRightInd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附件</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-2：分项报价表</w:t>
      </w:r>
    </w:p>
    <w:p w14:paraId="79665364">
      <w:pPr>
        <w:pStyle w:val="2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七、供应商认为需提供的其它资料</w:t>
      </w:r>
      <w:bookmarkEnd w:id="51"/>
    </w:p>
    <w:bookmarkEnd w:id="37"/>
    <w:p w14:paraId="0A3ADD09">
      <w:pPr>
        <w:spacing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52" w:name="_Toc31971_WPSOffice_Level2"/>
      <w:r>
        <w:rPr>
          <w:rFonts w:hint="eastAsia" w:ascii="宋体" w:hAnsi="宋体" w:eastAsia="宋体" w:cs="宋体"/>
          <w:b/>
          <w:color w:val="auto"/>
          <w:sz w:val="32"/>
          <w:szCs w:val="32"/>
          <w:highlight w:val="none"/>
        </w:rPr>
        <w:t>一、磋商响应声明</w:t>
      </w:r>
      <w:bookmarkEnd w:id="52"/>
    </w:p>
    <w:p w14:paraId="20274425">
      <w:pPr>
        <w:adjustRightInd w:val="0"/>
        <w:snapToGrid w:val="0"/>
        <w:spacing w:line="360" w:lineRule="auto"/>
        <w:rPr>
          <w:rFonts w:hint="eastAsia" w:ascii="宋体" w:hAnsi="宋体" w:eastAsia="宋体" w:cs="宋体"/>
          <w:color w:val="auto"/>
          <w:sz w:val="24"/>
          <w:highlight w:val="none"/>
        </w:rPr>
      </w:pPr>
    </w:p>
    <w:p w14:paraId="37CC897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(采购人或采购代理机构)：</w:t>
      </w:r>
    </w:p>
    <w:p w14:paraId="55E35A0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文件（采购</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）的全部内容，</w:t>
      </w:r>
      <w:r>
        <w:rPr>
          <w:rFonts w:hint="eastAsia" w:ascii="宋体" w:hAnsi="宋体" w:eastAsia="宋体" w:cs="宋体"/>
          <w:color w:val="auto"/>
          <w:highlight w:val="none"/>
        </w:rPr>
        <w:t>知悉参加</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的风险，我方承诺接受磋商文件的全部条款且无任何异议。</w:t>
      </w:r>
    </w:p>
    <w:p w14:paraId="49AAB63F">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一、我方同意在磋商文件中规定的提交首次响应文件截止时间起</w:t>
      </w:r>
      <w:r>
        <w:rPr>
          <w:rFonts w:hint="eastAsia" w:ascii="宋体" w:hAnsi="宋体" w:eastAsia="宋体" w:cs="宋体"/>
          <w:color w:val="auto"/>
          <w:highlight w:val="none"/>
          <w:u w:val="single"/>
          <w:lang w:val="en-US" w:eastAsia="zh-CN"/>
        </w:rPr>
        <w:t>90</w:t>
      </w:r>
      <w:r>
        <w:rPr>
          <w:rFonts w:hint="eastAsia" w:ascii="宋体" w:hAnsi="宋体" w:eastAsia="宋体" w:cs="宋体"/>
          <w:color w:val="auto"/>
          <w:highlight w:val="none"/>
        </w:rPr>
        <w:t>日内(响应文件有效期)遵守本响应文件中的承诺且在此期限期满之前均具有法律约束力。</w:t>
      </w:r>
    </w:p>
    <w:p w14:paraId="7EEF9F2F">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二、我方提交响应文件电子文件</w:t>
      </w:r>
      <w:r>
        <w:rPr>
          <w:rFonts w:hint="eastAsia" w:ascii="宋体" w:hAnsi="宋体" w:eastAsia="宋体" w:cs="宋体"/>
          <w:color w:val="auto"/>
          <w:highlight w:val="none"/>
          <w:u w:val="single"/>
          <w:lang w:val="en-US" w:eastAsia="zh-CN"/>
        </w:rPr>
        <w:t xml:space="preserve"> 一 </w:t>
      </w:r>
      <w:r>
        <w:rPr>
          <w:rFonts w:hint="eastAsia" w:ascii="宋体" w:hAnsi="宋体" w:eastAsia="宋体" w:cs="宋体"/>
          <w:color w:val="auto"/>
          <w:highlight w:val="none"/>
        </w:rPr>
        <w:t>份，并保证响应文件提供的数据和资料全部内容真实、合法、准确和完整，我们对此负责，并愿承担由此引起的法律责任。</w:t>
      </w:r>
    </w:p>
    <w:p w14:paraId="4C7A5BCC">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三、我方愿意向贵方提供任何与本项采购有关的数据、情况和技术资料。若贵方需要，我方愿意提供我方作出的一切承诺的证明资料。</w:t>
      </w:r>
    </w:p>
    <w:p w14:paraId="4BE148CD">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四、我方承诺遵守相关法律法规的有关规定，保证在获得成交资格后，按照磋商文件确定的事项签订采购合同，履行双方所签订的合同，并承担合同规定的责任和义务。</w:t>
      </w:r>
    </w:p>
    <w:p w14:paraId="577CF519">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五、我方在此声明： </w:t>
      </w:r>
    </w:p>
    <w:p w14:paraId="652E42A4">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（一）我方响应文件所提供的所有情况、资料、证明文件等，均与我方实际情况一致。如有虚假，愿承担一切可能的责任。</w:t>
      </w:r>
    </w:p>
    <w:p w14:paraId="7F31301A">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（二）我方与参加本项目的其他供应商不存在直接控股、管理关系，或者与其他供应商法定代表人（或者负责人）为同一人。</w:t>
      </w:r>
    </w:p>
    <w:p w14:paraId="0AD2C119">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（三）我方承诺（承诺期：成立三年以上的，为提交首次响应文件截止时间前三年内；成立不足三年的，为实际时间）：</w:t>
      </w:r>
    </w:p>
    <w:p w14:paraId="07245A41">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1、我方依法缴纳了各项税费及各项社会保障资金，没有偷税、漏税及欠缴行为。</w:t>
      </w:r>
    </w:p>
    <w:p w14:paraId="702B5741">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2、我方在经营活动中没有存在下列重大违法记录：</w:t>
      </w:r>
    </w:p>
    <w:p w14:paraId="35ECF0B5">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(1)受到刑事处罚；</w:t>
      </w:r>
    </w:p>
    <w:p w14:paraId="7B6F1FD6">
      <w:pPr>
        <w:pStyle w:val="2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(2)受到责令停产停业、在一至三年内禁止参加政府采购活动、暂扣或者吊销许可证、暂扣或者吊销执照的行政处罚。</w:t>
      </w:r>
    </w:p>
    <w:p w14:paraId="2483E082">
      <w:pPr>
        <w:pStyle w:val="22"/>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我方同意</w:t>
      </w:r>
      <w:r>
        <w:rPr>
          <w:rFonts w:hint="eastAsia" w:ascii="宋体" w:hAnsi="宋体" w:eastAsia="宋体" w:cs="宋体"/>
          <w:color w:val="auto"/>
          <w:highlight w:val="none"/>
          <w:lang w:val="en-US" w:eastAsia="zh-CN"/>
        </w:rPr>
        <w:t>并承诺响应定点采购项目的价格波动谅解机制。（详见第二章）</w:t>
      </w:r>
    </w:p>
    <w:p w14:paraId="0F469F13">
      <w:pPr>
        <w:pStyle w:val="22"/>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七、我单位确认在本次投标截止日之前（   年   月   日），本单位及单位法定代表人未被纳入人民法院失信被执行人或限制消费人员名单（以中国执行信息公开网信息为准，网址为：</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"http://zxgk.court.gov.cn/）。如虚假承诺，招标人可认定本次投标无效，并有权将我单位列入黑名单。" </w:instrText>
      </w:r>
      <w:r>
        <w:rPr>
          <w:rFonts w:hint="eastAsia" w:ascii="宋体" w:hAnsi="宋体" w:eastAsia="宋体" w:cs="宋体"/>
          <w:color w:val="auto"/>
          <w:highlight w:val="none"/>
          <w:lang w:val="en-US" w:eastAsia="zh-CN"/>
        </w:rPr>
        <w:fldChar w:fldCharType="separate"/>
      </w:r>
      <w:r>
        <w:rPr>
          <w:rStyle w:val="54"/>
          <w:rFonts w:hint="eastAsia" w:ascii="宋体" w:hAnsi="宋体" w:eastAsia="宋体" w:cs="宋体"/>
          <w:color w:val="auto"/>
          <w:highlight w:val="none"/>
          <w:lang w:val="en-US" w:eastAsia="zh-CN"/>
        </w:rPr>
        <w:t>http://zxgk.court.gov.cn/）。如虚假承诺，招标人可认定本次投标无效，并有权将我单位列入黑名单。</w:t>
      </w:r>
      <w:r>
        <w:rPr>
          <w:rFonts w:hint="eastAsia" w:ascii="宋体" w:hAnsi="宋体" w:eastAsia="宋体" w:cs="宋体"/>
          <w:color w:val="auto"/>
          <w:highlight w:val="none"/>
          <w:lang w:val="en-US" w:eastAsia="zh-CN"/>
        </w:rPr>
        <w:fldChar w:fldCharType="end"/>
      </w:r>
    </w:p>
    <w:p w14:paraId="3DBFE0A5">
      <w:pPr>
        <w:pStyle w:val="22"/>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八、采购项目提交了投标保证金的，如我公司违反了上述承诺，采购人可不予退还投标保证金。</w:t>
      </w:r>
    </w:p>
    <w:p w14:paraId="39D51E6B">
      <w:pPr>
        <w:pStyle w:val="22"/>
        <w:adjustRightInd w:val="0"/>
        <w:snapToGrid w:val="0"/>
        <w:spacing w:line="360" w:lineRule="auto"/>
        <w:ind w:firstLine="420" w:firstLineChars="200"/>
        <w:rPr>
          <w:rFonts w:hint="eastAsia" w:ascii="宋体" w:hAnsi="宋体" w:eastAsia="宋体" w:cs="宋体"/>
          <w:color w:val="auto"/>
          <w:highlight w:val="none"/>
        </w:rPr>
      </w:pPr>
    </w:p>
    <w:p w14:paraId="56B734D0">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附件1：</w:t>
      </w:r>
      <w:r>
        <w:rPr>
          <w:rFonts w:hint="eastAsia" w:ascii="宋体" w:hAnsi="宋体" w:eastAsia="宋体" w:cs="宋体"/>
          <w:color w:val="auto"/>
          <w:szCs w:val="21"/>
          <w:highlight w:val="none"/>
        </w:rPr>
        <w:t>法定代表人身份证明</w:t>
      </w:r>
    </w:p>
    <w:p w14:paraId="6C3ECC4E">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附件2</w:t>
      </w:r>
      <w:r>
        <w:rPr>
          <w:rFonts w:hint="eastAsia" w:ascii="宋体" w:hAnsi="宋体" w:eastAsia="宋体" w:cs="宋体"/>
          <w:color w:val="auto"/>
          <w:szCs w:val="21"/>
          <w:highlight w:val="none"/>
        </w:rPr>
        <w:t>：法定代表人授权书</w:t>
      </w:r>
    </w:p>
    <w:p w14:paraId="0317EC72">
      <w:pPr>
        <w:pStyle w:val="22"/>
        <w:adjustRightInd w:val="0"/>
        <w:snapToGrid w:val="0"/>
        <w:spacing w:line="360" w:lineRule="auto"/>
        <w:rPr>
          <w:rFonts w:hint="eastAsia" w:ascii="宋体" w:hAnsi="宋体" w:eastAsia="宋体" w:cs="宋体"/>
          <w:color w:val="auto"/>
          <w:highlight w:val="none"/>
        </w:rPr>
      </w:pPr>
    </w:p>
    <w:p w14:paraId="0E3C9E73">
      <w:pPr>
        <w:pStyle w:val="22"/>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供应商名称(盖单位章)：</w:t>
      </w:r>
    </w:p>
    <w:p w14:paraId="3A9A8C6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(签字)：</w:t>
      </w:r>
      <w:r>
        <w:rPr>
          <w:rFonts w:hint="eastAsia" w:ascii="宋体" w:hAnsi="宋体" w:eastAsia="宋体" w:cs="宋体"/>
          <w:color w:val="auto"/>
          <w:szCs w:val="21"/>
          <w:highlight w:val="none"/>
          <w:u w:val="single"/>
        </w:rPr>
        <w:t xml:space="preserve">            </w:t>
      </w:r>
    </w:p>
    <w:p w14:paraId="7DACD78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6B2B787">
      <w:pPr>
        <w:adjustRightInd w:val="0"/>
        <w:snapToGrid w:val="0"/>
        <w:spacing w:line="360" w:lineRule="auto"/>
        <w:rPr>
          <w:rFonts w:hint="eastAsia" w:ascii="宋体" w:hAnsi="宋体" w:eastAsia="宋体" w:cs="宋体"/>
          <w:bCs/>
          <w:color w:val="auto"/>
          <w:sz w:val="30"/>
          <w:szCs w:val="30"/>
          <w:highlight w:val="none"/>
        </w:rPr>
      </w:pPr>
      <w:r>
        <w:rPr>
          <w:rFonts w:hint="eastAsia" w:ascii="宋体" w:hAnsi="宋体" w:eastAsia="宋体" w:cs="宋体"/>
          <w:color w:val="auto"/>
          <w:szCs w:val="21"/>
          <w:highlight w:val="none"/>
        </w:rPr>
        <w:br w:type="page"/>
      </w:r>
      <w:r>
        <w:rPr>
          <w:rFonts w:hint="eastAsia" w:ascii="宋体" w:hAnsi="宋体" w:eastAsia="宋体" w:cs="宋体"/>
          <w:bCs/>
          <w:color w:val="auto"/>
          <w:sz w:val="30"/>
          <w:szCs w:val="30"/>
          <w:highlight w:val="none"/>
        </w:rPr>
        <w:t>附件1</w:t>
      </w:r>
    </w:p>
    <w:p w14:paraId="06F1D6B1">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法定代表人身份证明</w:t>
      </w:r>
    </w:p>
    <w:p w14:paraId="1D940482">
      <w:pPr>
        <w:snapToGrid w:val="0"/>
        <w:spacing w:line="480" w:lineRule="auto"/>
        <w:rPr>
          <w:rFonts w:hint="eastAsia" w:ascii="宋体" w:hAnsi="宋体" w:eastAsia="宋体" w:cs="宋体"/>
          <w:color w:val="auto"/>
          <w:szCs w:val="21"/>
          <w:highlight w:val="none"/>
        </w:rPr>
      </w:pPr>
    </w:p>
    <w:p w14:paraId="6CF489AC">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66E59B69">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注册号：</w:t>
      </w:r>
      <w:r>
        <w:rPr>
          <w:rFonts w:hint="eastAsia" w:ascii="宋体" w:hAnsi="宋体" w:eastAsia="宋体" w:cs="宋体"/>
          <w:color w:val="auto"/>
          <w:kern w:val="0"/>
          <w:szCs w:val="21"/>
          <w:highlight w:val="none"/>
          <w:u w:val="single"/>
        </w:rPr>
        <w:t xml:space="preserve">                  </w:t>
      </w:r>
    </w:p>
    <w:p w14:paraId="2E6292AD">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r>
        <w:rPr>
          <w:rFonts w:hint="eastAsia" w:ascii="宋体" w:hAnsi="宋体" w:eastAsia="宋体" w:cs="宋体"/>
          <w:color w:val="auto"/>
          <w:kern w:val="0"/>
          <w:szCs w:val="21"/>
          <w:highlight w:val="none"/>
          <w:u w:val="single"/>
        </w:rPr>
        <w:t xml:space="preserve">                                    </w:t>
      </w:r>
    </w:p>
    <w:p w14:paraId="410720F3">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成立时间：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w:t>
      </w:r>
    </w:p>
    <w:p w14:paraId="10ECC1D5">
      <w:pPr>
        <w:autoSpaceDE w:val="0"/>
        <w:autoSpaceDN w:val="0"/>
        <w:adjustRightInd w:val="0"/>
        <w:snapToGri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Cs w:val="21"/>
          <w:highlight w:val="none"/>
          <w:u w:val="single"/>
        </w:rPr>
        <w:t xml:space="preserve">                  </w:t>
      </w:r>
    </w:p>
    <w:p w14:paraId="09FC6F7D">
      <w:pPr>
        <w:autoSpaceDE w:val="0"/>
        <w:autoSpaceDN w:val="0"/>
        <w:adjustRightInd w:val="0"/>
        <w:snapToGri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经营范围：主营：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；兼营：</w:t>
      </w:r>
      <w:r>
        <w:rPr>
          <w:rFonts w:hint="eastAsia" w:ascii="宋体" w:hAnsi="宋体" w:eastAsia="宋体" w:cs="宋体"/>
          <w:color w:val="auto"/>
          <w:kern w:val="0"/>
          <w:szCs w:val="21"/>
          <w:highlight w:val="none"/>
          <w:u w:val="single"/>
        </w:rPr>
        <w:t xml:space="preserve">              </w:t>
      </w:r>
    </w:p>
    <w:p w14:paraId="4E8EC367">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名称）的法定代表人。</w:t>
      </w:r>
    </w:p>
    <w:p w14:paraId="3173DADB">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704E209E">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附：法定代表人身份证复印件</w:t>
      </w:r>
    </w:p>
    <w:p w14:paraId="2A3929EC">
      <w:pPr>
        <w:snapToGrid w:val="0"/>
        <w:spacing w:line="480" w:lineRule="auto"/>
        <w:rPr>
          <w:rFonts w:hint="eastAsia" w:ascii="宋体" w:hAnsi="宋体" w:eastAsia="宋体" w:cs="宋体"/>
          <w:color w:val="auto"/>
          <w:szCs w:val="21"/>
          <w:highlight w:val="none"/>
        </w:rPr>
      </w:pPr>
    </w:p>
    <w:p w14:paraId="66E20A8C">
      <w:pPr>
        <w:snapToGrid w:val="0"/>
        <w:rPr>
          <w:rFonts w:hint="eastAsia" w:ascii="宋体" w:hAnsi="宋体" w:eastAsia="宋体" w:cs="宋体"/>
          <w:color w:val="auto"/>
          <w:szCs w:val="21"/>
          <w:highlight w:val="none"/>
        </w:rPr>
      </w:pPr>
    </w:p>
    <w:p w14:paraId="4B426B2B">
      <w:pPr>
        <w:snapToGrid w:val="0"/>
        <w:rPr>
          <w:rFonts w:hint="eastAsia" w:ascii="宋体" w:hAnsi="宋体" w:eastAsia="宋体" w:cs="宋体"/>
          <w:color w:val="auto"/>
          <w:szCs w:val="21"/>
          <w:highlight w:val="none"/>
        </w:rPr>
      </w:pPr>
    </w:p>
    <w:p w14:paraId="6EE77F3B">
      <w:pPr>
        <w:snapToGrid w:val="0"/>
        <w:rPr>
          <w:rFonts w:hint="eastAsia" w:ascii="宋体" w:hAnsi="宋体" w:eastAsia="宋体" w:cs="宋体"/>
          <w:color w:val="auto"/>
          <w:szCs w:val="21"/>
          <w:highlight w:val="none"/>
        </w:rPr>
      </w:pPr>
    </w:p>
    <w:p w14:paraId="74F8A127">
      <w:pPr>
        <w:snapToGrid w:val="0"/>
        <w:rPr>
          <w:rFonts w:hint="eastAsia" w:ascii="宋体" w:hAnsi="宋体" w:eastAsia="宋体" w:cs="宋体"/>
          <w:color w:val="auto"/>
          <w:szCs w:val="21"/>
          <w:highlight w:val="none"/>
        </w:rPr>
      </w:pPr>
    </w:p>
    <w:p w14:paraId="375EE4BF">
      <w:pPr>
        <w:adjustRightInd w:val="0"/>
        <w:snapToGrid w:val="0"/>
        <w:spacing w:line="360" w:lineRule="auto"/>
        <w:rPr>
          <w:rFonts w:hint="eastAsia" w:ascii="宋体" w:hAnsi="宋体" w:eastAsia="宋体" w:cs="宋体"/>
          <w:color w:val="auto"/>
          <w:szCs w:val="21"/>
          <w:highlight w:val="none"/>
        </w:rPr>
      </w:pPr>
    </w:p>
    <w:p w14:paraId="6952E0AC">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供应商名称（盖单位章）：</w:t>
      </w:r>
    </w:p>
    <w:p w14:paraId="670B31DC">
      <w:pPr>
        <w:adjustRightInd w:val="0"/>
        <w:snapToGrid w:val="0"/>
        <w:spacing w:line="360" w:lineRule="auto"/>
        <w:ind w:right="420"/>
        <w:rPr>
          <w:rFonts w:hint="eastAsia" w:ascii="宋体" w:hAnsi="宋体" w:eastAsia="宋体" w:cs="宋体"/>
          <w:bCs/>
          <w:color w:val="auto"/>
          <w:sz w:val="30"/>
          <w:szCs w:val="30"/>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bCs/>
          <w:color w:val="auto"/>
          <w:sz w:val="30"/>
          <w:szCs w:val="30"/>
          <w:highlight w:val="none"/>
        </w:rPr>
        <w:br w:type="page"/>
      </w:r>
    </w:p>
    <w:p w14:paraId="6A42E869">
      <w:pPr>
        <w:adjustRightInd w:val="0"/>
        <w:snapToGrid w:val="0"/>
        <w:spacing w:beforeLines="50" w:line="360" w:lineRule="auto"/>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t>附件2</w:t>
      </w:r>
    </w:p>
    <w:p w14:paraId="6AC54D14">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法定代表人授权委托书</w:t>
      </w:r>
    </w:p>
    <w:p w14:paraId="7ED1D119">
      <w:pPr>
        <w:adjustRightInd w:val="0"/>
        <w:snapToGrid w:val="0"/>
        <w:spacing w:line="360" w:lineRule="auto"/>
        <w:jc w:val="center"/>
        <w:rPr>
          <w:rFonts w:hint="eastAsia" w:ascii="宋体" w:hAnsi="宋体" w:eastAsia="宋体" w:cs="宋体"/>
          <w:color w:val="auto"/>
          <w:kern w:val="0"/>
          <w:szCs w:val="21"/>
          <w:highlight w:val="none"/>
        </w:rPr>
      </w:pPr>
    </w:p>
    <w:p w14:paraId="71418D04">
      <w:pPr>
        <w:autoSpaceDE w:val="0"/>
        <w:autoSpaceDN w:val="0"/>
        <w:adjustRightInd w:val="0"/>
        <w:snapToGrid w:val="0"/>
        <w:spacing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名称）的法定代表人，现授权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（姓名、职务）为我方代理人。代理人根据授权，以我方名义：(1)签署、澄清、补正、修改、撤回、提交</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（项目名称、采购</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编号）响应文件；(2)签署并重新提交响应文件；(3)签订合同和处理有关事宜，其法律后果由我方承担；（4）询问、质疑、投诉等相关事项，其法律后果由我方承担。</w:t>
      </w:r>
    </w:p>
    <w:p w14:paraId="39382369">
      <w:pPr>
        <w:autoSpaceDE w:val="0"/>
        <w:autoSpaceDN w:val="0"/>
        <w:adjustRightInd w:val="0"/>
        <w:snapToGrid w:val="0"/>
        <w:spacing w:beforeLines="50" w:line="360" w:lineRule="auto"/>
        <w:ind w:firstLine="420" w:firstLineChars="200"/>
        <w:jc w:val="left"/>
        <w:rPr>
          <w:rFonts w:hint="eastAsia" w:ascii="宋体" w:hAnsi="宋体" w:eastAsia="宋体" w:cs="宋体"/>
          <w:color w:val="auto"/>
          <w:kern w:val="0"/>
          <w:szCs w:val="21"/>
          <w:highlight w:val="none"/>
        </w:rPr>
      </w:pPr>
    </w:p>
    <w:p w14:paraId="4462D47F">
      <w:pPr>
        <w:autoSpaceDE w:val="0"/>
        <w:autoSpaceDN w:val="0"/>
        <w:adjustRightInd w:val="0"/>
        <w:snapToGrid w:val="0"/>
        <w:spacing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0B4711C4">
      <w:pPr>
        <w:spacing w:line="360" w:lineRule="auto"/>
        <w:ind w:firstLine="4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3B5BCC61">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日签字生效，特此声明。</w:t>
      </w:r>
    </w:p>
    <w:p w14:paraId="556C6789">
      <w:pPr>
        <w:adjustRightInd w:val="0"/>
        <w:snapToGrid w:val="0"/>
        <w:spacing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附：委托代理人身份证复印件及法定代表人身份证明(附件1，原件)</w:t>
      </w:r>
    </w:p>
    <w:p w14:paraId="7AEFC699">
      <w:pPr>
        <w:adjustRightInd w:val="0"/>
        <w:snapToGrid w:val="0"/>
        <w:spacing w:line="360" w:lineRule="auto"/>
        <w:ind w:right="420"/>
        <w:rPr>
          <w:rFonts w:hint="eastAsia" w:ascii="宋体" w:hAnsi="宋体" w:eastAsia="宋体" w:cs="宋体"/>
          <w:color w:val="auto"/>
          <w:szCs w:val="21"/>
          <w:highlight w:val="none"/>
        </w:rPr>
      </w:pPr>
    </w:p>
    <w:p w14:paraId="080D08F7">
      <w:pPr>
        <w:adjustRightInd w:val="0"/>
        <w:snapToGrid w:val="0"/>
        <w:spacing w:line="360" w:lineRule="auto"/>
        <w:ind w:right="420"/>
        <w:rPr>
          <w:rFonts w:hint="eastAsia" w:ascii="宋体" w:hAnsi="宋体" w:eastAsia="宋体" w:cs="宋体"/>
          <w:color w:val="auto"/>
          <w:szCs w:val="21"/>
          <w:highlight w:val="none"/>
        </w:rPr>
      </w:pPr>
    </w:p>
    <w:p w14:paraId="2FA3F3EF">
      <w:pPr>
        <w:adjustRightInd w:val="0"/>
        <w:snapToGrid w:val="0"/>
        <w:spacing w:line="360" w:lineRule="auto"/>
        <w:ind w:right="420"/>
        <w:rPr>
          <w:rFonts w:hint="eastAsia" w:ascii="宋体" w:hAnsi="宋体" w:eastAsia="宋体" w:cs="宋体"/>
          <w:color w:val="auto"/>
          <w:szCs w:val="21"/>
          <w:highlight w:val="none"/>
        </w:rPr>
      </w:pPr>
    </w:p>
    <w:p w14:paraId="36A3FB3D">
      <w:pPr>
        <w:adjustRightInd w:val="0"/>
        <w:snapToGrid w:val="0"/>
        <w:spacing w:line="360" w:lineRule="auto"/>
        <w:ind w:right="420"/>
        <w:rPr>
          <w:rFonts w:hint="eastAsia" w:ascii="宋体" w:hAnsi="宋体" w:eastAsia="宋体" w:cs="宋体"/>
          <w:color w:val="auto"/>
          <w:szCs w:val="21"/>
          <w:highlight w:val="none"/>
        </w:rPr>
      </w:pPr>
    </w:p>
    <w:p w14:paraId="6D524932">
      <w:pPr>
        <w:adjustRightInd w:val="0"/>
        <w:snapToGrid w:val="0"/>
        <w:spacing w:line="360" w:lineRule="auto"/>
        <w:ind w:right="420"/>
        <w:rPr>
          <w:rFonts w:hint="eastAsia" w:ascii="宋体" w:hAnsi="宋体" w:eastAsia="宋体" w:cs="宋体"/>
          <w:color w:val="auto"/>
          <w:szCs w:val="21"/>
          <w:highlight w:val="none"/>
        </w:rPr>
      </w:pPr>
    </w:p>
    <w:p w14:paraId="3CFF4A08">
      <w:pPr>
        <w:adjustRightInd w:val="0"/>
        <w:snapToGrid w:val="0"/>
        <w:spacing w:line="360" w:lineRule="auto"/>
        <w:ind w:right="420"/>
        <w:rPr>
          <w:rFonts w:hint="eastAsia" w:ascii="宋体" w:hAnsi="宋体" w:eastAsia="宋体" w:cs="宋体"/>
          <w:color w:val="auto"/>
          <w:szCs w:val="21"/>
          <w:highlight w:val="none"/>
        </w:rPr>
      </w:pPr>
    </w:p>
    <w:p w14:paraId="4939757B">
      <w:pPr>
        <w:adjustRightInd w:val="0"/>
        <w:snapToGrid w:val="0"/>
        <w:spacing w:line="360" w:lineRule="auto"/>
        <w:ind w:right="420"/>
        <w:rPr>
          <w:rFonts w:hint="eastAsia" w:ascii="宋体" w:hAnsi="宋体" w:eastAsia="宋体" w:cs="宋体"/>
          <w:color w:val="auto"/>
          <w:szCs w:val="21"/>
          <w:highlight w:val="none"/>
        </w:rPr>
      </w:pPr>
    </w:p>
    <w:p w14:paraId="7349BCA3">
      <w:pPr>
        <w:adjustRightInd w:val="0"/>
        <w:snapToGrid w:val="0"/>
        <w:spacing w:line="360" w:lineRule="auto"/>
        <w:ind w:right="420"/>
        <w:rPr>
          <w:rFonts w:hint="eastAsia" w:ascii="宋体" w:hAnsi="宋体" w:eastAsia="宋体" w:cs="宋体"/>
          <w:color w:val="auto"/>
          <w:szCs w:val="21"/>
          <w:highlight w:val="none"/>
        </w:rPr>
      </w:pPr>
    </w:p>
    <w:p w14:paraId="64A562EC">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u w:val="single"/>
        </w:rPr>
        <w:t xml:space="preserve">                     </w:t>
      </w:r>
    </w:p>
    <w:p w14:paraId="50FE82E5">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r>
        <w:rPr>
          <w:rFonts w:hint="eastAsia" w:ascii="宋体" w:hAnsi="宋体" w:eastAsia="宋体" w:cs="宋体"/>
          <w:color w:val="auto"/>
          <w:szCs w:val="21"/>
          <w:highlight w:val="none"/>
          <w:u w:val="single"/>
        </w:rPr>
        <w:t xml:space="preserve">                     </w:t>
      </w:r>
    </w:p>
    <w:p w14:paraId="6C06A8EE">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107D59">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53" w:name="_Toc24460_WPSOffice_Level2"/>
    </w:p>
    <w:p w14:paraId="0F1FF3DE">
      <w:pPr>
        <w:spacing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w:t>
      </w:r>
      <w:bookmarkEnd w:id="53"/>
      <w:r>
        <w:rPr>
          <w:rFonts w:hint="eastAsia" w:ascii="宋体" w:hAnsi="宋体" w:eastAsia="宋体" w:cs="宋体"/>
          <w:b/>
          <w:color w:val="auto"/>
          <w:sz w:val="32"/>
          <w:szCs w:val="32"/>
          <w:highlight w:val="none"/>
        </w:rPr>
        <w:t>磋商承诺书</w:t>
      </w:r>
    </w:p>
    <w:p w14:paraId="5DA92D9F">
      <w:pPr>
        <w:pStyle w:val="64"/>
        <w:rPr>
          <w:rFonts w:hint="eastAsia" w:ascii="宋体" w:hAnsi="宋体" w:eastAsia="宋体" w:cs="宋体"/>
          <w:color w:val="auto"/>
          <w:sz w:val="20"/>
          <w:szCs w:val="20"/>
          <w:highlight w:val="none"/>
        </w:rPr>
      </w:pPr>
    </w:p>
    <w:p w14:paraId="6166D6E1">
      <w:pPr>
        <w:pStyle w:val="64"/>
        <w:ind w:left="420"/>
        <w:rPr>
          <w:rFonts w:hint="eastAsia" w:ascii="宋体" w:hAnsi="宋体" w:eastAsia="宋体" w:cs="宋体"/>
          <w:color w:val="auto"/>
          <w:highlight w:val="none"/>
        </w:rPr>
      </w:pPr>
    </w:p>
    <w:p w14:paraId="43BFA6E6">
      <w:pPr>
        <w:pStyle w:val="64"/>
        <w:ind w:left="420"/>
        <w:rPr>
          <w:rFonts w:hint="eastAsia" w:ascii="宋体" w:hAnsi="宋体" w:eastAsia="宋体" w:cs="宋体"/>
          <w:color w:val="auto"/>
          <w:highlight w:val="none"/>
        </w:rPr>
      </w:pPr>
    </w:p>
    <w:p w14:paraId="63266308">
      <w:pPr>
        <w:adjustRightInd w:val="0"/>
        <w:snapToGrid w:val="0"/>
        <w:spacing w:line="48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t>附件3：</w:t>
      </w:r>
      <w:r>
        <w:rPr>
          <w:rFonts w:hint="eastAsia" w:ascii="宋体" w:hAnsi="宋体" w:eastAsia="宋体" w:cs="宋体"/>
          <w:b/>
          <w:bCs/>
          <w:color w:val="auto"/>
          <w:sz w:val="28"/>
          <w:szCs w:val="28"/>
          <w:highlight w:val="none"/>
        </w:rPr>
        <w:t>磋商承诺书</w:t>
      </w:r>
    </w:p>
    <w:p w14:paraId="4C248802">
      <w:pPr>
        <w:adjustRightInd w:val="0"/>
        <w:snapToGrid w:val="0"/>
        <w:spacing w:line="480" w:lineRule="exact"/>
        <w:jc w:val="center"/>
        <w:rPr>
          <w:rFonts w:hint="eastAsia" w:ascii="宋体" w:hAnsi="宋体" w:eastAsia="宋体" w:cs="宋体"/>
          <w:b/>
          <w:bCs/>
          <w:color w:val="auto"/>
          <w:sz w:val="28"/>
          <w:szCs w:val="28"/>
          <w:highlight w:val="none"/>
        </w:rPr>
      </w:pPr>
    </w:p>
    <w:p w14:paraId="061C013A">
      <w:pPr>
        <w:adjustRightInd w:val="0"/>
        <w:snapToGrid w:val="0"/>
        <w:spacing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(采购人或采购代理机构)： </w:t>
      </w:r>
    </w:p>
    <w:p w14:paraId="6BF9597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1、投标担保</w:t>
      </w:r>
    </w:p>
    <w:p w14:paraId="29D8A1AB">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经慎重研究，我公司参与你方组织的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(项目名称)的采购活动，我方承诺严格按照法律法规和政策文件的要求，履行投标义务。</w:t>
      </w:r>
    </w:p>
    <w:p w14:paraId="32D91D07">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如果发生不履行相关投标义务的行为，自愿接受按法律法规和磋商文件作出的处理。</w:t>
      </w:r>
    </w:p>
    <w:p w14:paraId="7F5EC4E1">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2、我方承诺的所有服务内容能够到位履行职责。如不能到位，我方自愿接受处罚。</w:t>
      </w:r>
    </w:p>
    <w:p w14:paraId="6280EC1E">
      <w:pPr>
        <w:adjustRightInd w:val="0"/>
        <w:snapToGrid w:val="0"/>
        <w:spacing w:before="50" w:line="360" w:lineRule="auto"/>
        <w:ind w:firstLine="420" w:firstLineChars="200"/>
        <w:rPr>
          <w:rFonts w:hint="eastAsia" w:ascii="宋体" w:hAnsi="宋体" w:eastAsia="宋体" w:cs="宋体"/>
          <w:color w:val="auto"/>
          <w:szCs w:val="21"/>
          <w:highlight w:val="none"/>
        </w:rPr>
      </w:pPr>
    </w:p>
    <w:p w14:paraId="053F87A6">
      <w:pPr>
        <w:adjustRightInd w:val="0"/>
        <w:snapToGrid w:val="0"/>
        <w:spacing w:before="50" w:line="360" w:lineRule="auto"/>
        <w:ind w:left="4429" w:leftChars="210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供应商(盖单位章)：</w:t>
      </w:r>
    </w:p>
    <w:p w14:paraId="1EE4048B">
      <w:pPr>
        <w:adjustRightInd w:val="0"/>
        <w:snapToGrid w:val="0"/>
        <w:spacing w:before="50" w:line="360" w:lineRule="auto"/>
        <w:ind w:left="4429" w:leftChars="210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C5084A2">
      <w:pPr>
        <w:adjustRightInd w:val="0"/>
        <w:snapToGrid w:val="0"/>
        <w:spacing w:before="50" w:line="360" w:lineRule="auto"/>
        <w:ind w:left="4429" w:leftChars="2109"/>
        <w:rPr>
          <w:rFonts w:hint="eastAsia" w:ascii="宋体" w:hAnsi="宋体" w:eastAsia="宋体" w:cs="宋体"/>
          <w:color w:val="auto"/>
          <w:szCs w:val="21"/>
          <w:highlight w:val="none"/>
        </w:rPr>
      </w:pPr>
      <w:r>
        <w:rPr>
          <w:rFonts w:hint="eastAsia" w:ascii="宋体" w:hAnsi="宋体" w:eastAsia="宋体" w:cs="宋体"/>
          <w:color w:val="auto"/>
          <w:szCs w:val="21"/>
          <w:highlight w:val="none"/>
        </w:rPr>
        <w:t>移动电话：</w:t>
      </w:r>
      <w:r>
        <w:rPr>
          <w:rFonts w:hint="eastAsia" w:ascii="宋体" w:hAnsi="宋体" w:eastAsia="宋体" w:cs="宋体"/>
          <w:color w:val="auto"/>
          <w:szCs w:val="21"/>
          <w:highlight w:val="none"/>
          <w:u w:val="single"/>
        </w:rPr>
        <w:t xml:space="preserve">               </w:t>
      </w:r>
    </w:p>
    <w:p w14:paraId="469379D6">
      <w:pPr>
        <w:adjustRightInd w:val="0"/>
        <w:snapToGrid w:val="0"/>
        <w:spacing w:before="50" w:line="360" w:lineRule="auto"/>
        <w:ind w:left="4429" w:leftChars="210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固定电话：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D09C6A5">
      <w:pPr>
        <w:adjustRightInd w:val="0"/>
        <w:snapToGrid w:val="0"/>
        <w:spacing w:before="50" w:line="360" w:lineRule="auto"/>
        <w:ind w:left="4429" w:leftChars="210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267F8BB">
      <w:pPr>
        <w:pStyle w:val="64"/>
        <w:rPr>
          <w:rFonts w:hint="eastAsia" w:ascii="宋体" w:hAnsi="宋体" w:eastAsia="宋体" w:cs="宋体"/>
          <w:color w:val="auto"/>
          <w:highlight w:val="none"/>
        </w:rPr>
      </w:pPr>
    </w:p>
    <w:p w14:paraId="2E84E7BC">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bookmarkStart w:id="54" w:name="_Toc16064"/>
      <w:bookmarkStart w:id="55" w:name="_Toc26530_WPSOffice_Level2"/>
      <w:r>
        <w:rPr>
          <w:rFonts w:hint="eastAsia" w:ascii="宋体" w:hAnsi="宋体" w:eastAsia="宋体" w:cs="宋体"/>
          <w:b/>
          <w:color w:val="auto"/>
          <w:sz w:val="32"/>
          <w:szCs w:val="32"/>
          <w:highlight w:val="none"/>
        </w:rPr>
        <w:t>三、</w:t>
      </w:r>
      <w:bookmarkEnd w:id="54"/>
      <w:bookmarkEnd w:id="55"/>
      <w:bookmarkStart w:id="56" w:name="_Toc478_WPSOffice_Level2"/>
      <w:r>
        <w:rPr>
          <w:rFonts w:hint="eastAsia" w:ascii="宋体" w:hAnsi="宋体" w:eastAsia="宋体" w:cs="宋体"/>
          <w:b/>
          <w:color w:val="auto"/>
          <w:sz w:val="32"/>
          <w:szCs w:val="32"/>
          <w:highlight w:val="none"/>
        </w:rPr>
        <w:t>供应商</w:t>
      </w:r>
      <w:r>
        <w:rPr>
          <w:rFonts w:hint="eastAsia" w:ascii="宋体" w:hAnsi="宋体" w:eastAsia="宋体" w:cs="宋体"/>
          <w:b/>
          <w:bCs/>
          <w:color w:val="auto"/>
          <w:sz w:val="32"/>
          <w:szCs w:val="32"/>
          <w:highlight w:val="none"/>
        </w:rPr>
        <w:t>的资格证明资料</w:t>
      </w:r>
      <w:bookmarkEnd w:id="56"/>
    </w:p>
    <w:p w14:paraId="2C4DFC86">
      <w:pPr>
        <w:spacing w:line="48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cs="宋体"/>
          <w:color w:val="auto"/>
          <w:sz w:val="30"/>
          <w:szCs w:val="30"/>
          <w:highlight w:val="none"/>
          <w:lang w:val="en-US" w:eastAsia="zh-CN"/>
        </w:rPr>
        <w:t>4</w:t>
      </w:r>
      <w:r>
        <w:rPr>
          <w:rFonts w:hint="eastAsia" w:ascii="宋体" w:hAnsi="宋体" w:eastAsia="宋体" w:cs="宋体"/>
          <w:color w:val="auto"/>
          <w:sz w:val="30"/>
          <w:szCs w:val="30"/>
          <w:highlight w:val="none"/>
        </w:rPr>
        <w:t xml:space="preserve">              供应商基本情况表</w:t>
      </w:r>
    </w:p>
    <w:p w14:paraId="32CD147F">
      <w:pPr>
        <w:spacing w:line="480" w:lineRule="exact"/>
        <w:rPr>
          <w:rFonts w:hint="eastAsia" w:ascii="宋体" w:hAnsi="宋体" w:eastAsia="宋体" w:cs="宋体"/>
          <w:color w:val="auto"/>
          <w:sz w:val="30"/>
          <w:szCs w:val="30"/>
          <w:highlight w:val="none"/>
        </w:rPr>
      </w:pPr>
    </w:p>
    <w:p w14:paraId="29070F7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盖供应商单位章</w:t>
      </w:r>
    </w:p>
    <w:tbl>
      <w:tblPr>
        <w:tblStyle w:val="44"/>
        <w:tblW w:w="887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3"/>
        <w:gridCol w:w="542"/>
        <w:gridCol w:w="364"/>
        <w:gridCol w:w="1150"/>
        <w:gridCol w:w="1448"/>
        <w:gridCol w:w="1385"/>
        <w:gridCol w:w="1337"/>
        <w:gridCol w:w="1922"/>
      </w:tblGrid>
      <w:tr w14:paraId="56E22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629" w:type="dxa"/>
            <w:gridSpan w:val="3"/>
            <w:tcBorders>
              <w:top w:val="double" w:color="auto" w:sz="4" w:space="0"/>
              <w:left w:val="double" w:color="auto" w:sz="4" w:space="0"/>
              <w:bottom w:val="single" w:color="auto" w:sz="6" w:space="0"/>
              <w:right w:val="single" w:color="auto" w:sz="6" w:space="0"/>
            </w:tcBorders>
            <w:vAlign w:val="center"/>
          </w:tcPr>
          <w:p w14:paraId="474A2272">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3983" w:type="dxa"/>
            <w:gridSpan w:val="3"/>
            <w:tcBorders>
              <w:top w:val="double" w:color="auto" w:sz="4" w:space="0"/>
              <w:left w:val="single" w:color="auto" w:sz="6" w:space="0"/>
              <w:bottom w:val="single" w:color="auto" w:sz="6" w:space="0"/>
              <w:right w:val="single" w:color="auto" w:sz="6" w:space="0"/>
            </w:tcBorders>
            <w:vAlign w:val="center"/>
          </w:tcPr>
          <w:p w14:paraId="49D2E307">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337" w:type="dxa"/>
            <w:tcBorders>
              <w:top w:val="double" w:color="auto" w:sz="4" w:space="0"/>
              <w:left w:val="single" w:color="auto" w:sz="6" w:space="0"/>
              <w:bottom w:val="single" w:color="auto" w:sz="6" w:space="0"/>
              <w:right w:val="single" w:color="auto" w:sz="6" w:space="0"/>
            </w:tcBorders>
            <w:vAlign w:val="center"/>
          </w:tcPr>
          <w:p w14:paraId="073BCE26">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1922" w:type="dxa"/>
            <w:tcBorders>
              <w:top w:val="double" w:color="auto" w:sz="4" w:space="0"/>
              <w:left w:val="single" w:color="auto" w:sz="6" w:space="0"/>
              <w:bottom w:val="single" w:color="auto" w:sz="6" w:space="0"/>
              <w:right w:val="double" w:color="auto" w:sz="4" w:space="0"/>
            </w:tcBorders>
            <w:vAlign w:val="center"/>
          </w:tcPr>
          <w:p w14:paraId="793958CD">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74C12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629" w:type="dxa"/>
            <w:gridSpan w:val="3"/>
            <w:tcBorders>
              <w:top w:val="single" w:color="auto" w:sz="6" w:space="0"/>
              <w:left w:val="double" w:color="auto" w:sz="4" w:space="0"/>
              <w:bottom w:val="single" w:color="auto" w:sz="6" w:space="0"/>
              <w:right w:val="single" w:color="auto" w:sz="6" w:space="0"/>
            </w:tcBorders>
            <w:vAlign w:val="center"/>
          </w:tcPr>
          <w:p w14:paraId="76393FEA">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3983" w:type="dxa"/>
            <w:gridSpan w:val="3"/>
            <w:tcBorders>
              <w:top w:val="single" w:color="auto" w:sz="6" w:space="0"/>
              <w:left w:val="single" w:color="auto" w:sz="6" w:space="0"/>
              <w:bottom w:val="single" w:color="auto" w:sz="6" w:space="0"/>
              <w:right w:val="single" w:color="auto" w:sz="6" w:space="0"/>
            </w:tcBorders>
            <w:vAlign w:val="center"/>
          </w:tcPr>
          <w:p w14:paraId="5040C4B3">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337" w:type="dxa"/>
            <w:tcBorders>
              <w:top w:val="single" w:color="auto" w:sz="6" w:space="0"/>
              <w:left w:val="single" w:color="auto" w:sz="6" w:space="0"/>
              <w:bottom w:val="single" w:color="auto" w:sz="6" w:space="0"/>
              <w:right w:val="single" w:color="auto" w:sz="6" w:space="0"/>
            </w:tcBorders>
            <w:vAlign w:val="center"/>
          </w:tcPr>
          <w:p w14:paraId="554907DA">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922" w:type="dxa"/>
            <w:tcBorders>
              <w:top w:val="single" w:color="auto" w:sz="6" w:space="0"/>
              <w:left w:val="single" w:color="auto" w:sz="6" w:space="0"/>
              <w:bottom w:val="single" w:color="auto" w:sz="6" w:space="0"/>
              <w:right w:val="double" w:color="auto" w:sz="4" w:space="0"/>
            </w:tcBorders>
            <w:vAlign w:val="center"/>
          </w:tcPr>
          <w:p w14:paraId="261206E1">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3A021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629" w:type="dxa"/>
            <w:gridSpan w:val="3"/>
            <w:tcBorders>
              <w:top w:val="single" w:color="auto" w:sz="6" w:space="0"/>
              <w:left w:val="double" w:color="auto" w:sz="4" w:space="0"/>
              <w:bottom w:val="single" w:color="auto" w:sz="6" w:space="0"/>
              <w:right w:val="single" w:color="auto" w:sz="6" w:space="0"/>
            </w:tcBorders>
            <w:vAlign w:val="center"/>
          </w:tcPr>
          <w:p w14:paraId="2B6B8569">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3983" w:type="dxa"/>
            <w:gridSpan w:val="3"/>
            <w:tcBorders>
              <w:top w:val="single" w:color="auto" w:sz="6" w:space="0"/>
              <w:left w:val="single" w:color="auto" w:sz="6" w:space="0"/>
              <w:bottom w:val="single" w:color="auto" w:sz="6" w:space="0"/>
              <w:right w:val="single" w:color="auto" w:sz="6" w:space="0"/>
            </w:tcBorders>
            <w:vAlign w:val="center"/>
          </w:tcPr>
          <w:p w14:paraId="1A4E1DC7">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337" w:type="dxa"/>
            <w:tcBorders>
              <w:top w:val="single" w:color="auto" w:sz="6" w:space="0"/>
              <w:left w:val="single" w:color="auto" w:sz="6" w:space="0"/>
              <w:bottom w:val="single" w:color="auto" w:sz="6" w:space="0"/>
              <w:right w:val="single" w:color="auto" w:sz="6" w:space="0"/>
            </w:tcBorders>
            <w:vAlign w:val="center"/>
          </w:tcPr>
          <w:p w14:paraId="1EF035F0">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922" w:type="dxa"/>
            <w:tcBorders>
              <w:top w:val="single" w:color="auto" w:sz="6" w:space="0"/>
              <w:left w:val="single" w:color="auto" w:sz="6" w:space="0"/>
              <w:bottom w:val="single" w:color="auto" w:sz="6" w:space="0"/>
              <w:right w:val="double" w:color="auto" w:sz="4" w:space="0"/>
            </w:tcBorders>
            <w:vAlign w:val="center"/>
          </w:tcPr>
          <w:p w14:paraId="27540FE0">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06007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629" w:type="dxa"/>
            <w:gridSpan w:val="3"/>
            <w:tcBorders>
              <w:top w:val="single" w:color="auto" w:sz="6" w:space="0"/>
              <w:left w:val="double" w:color="auto" w:sz="4" w:space="0"/>
              <w:bottom w:val="single" w:color="auto" w:sz="6" w:space="0"/>
              <w:right w:val="single" w:color="auto" w:sz="6" w:space="0"/>
            </w:tcBorders>
            <w:vAlign w:val="center"/>
          </w:tcPr>
          <w:p w14:paraId="375B237D">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上年营业收入</w:t>
            </w:r>
          </w:p>
        </w:tc>
        <w:tc>
          <w:tcPr>
            <w:tcW w:w="3983" w:type="dxa"/>
            <w:gridSpan w:val="3"/>
            <w:tcBorders>
              <w:top w:val="single" w:color="auto" w:sz="6" w:space="0"/>
              <w:left w:val="single" w:color="auto" w:sz="6" w:space="0"/>
              <w:bottom w:val="single" w:color="auto" w:sz="6" w:space="0"/>
              <w:right w:val="single" w:color="auto" w:sz="6" w:space="0"/>
            </w:tcBorders>
            <w:vAlign w:val="center"/>
          </w:tcPr>
          <w:p w14:paraId="18A9C1DD">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337" w:type="dxa"/>
            <w:tcBorders>
              <w:top w:val="single" w:color="auto" w:sz="6" w:space="0"/>
              <w:left w:val="single" w:color="auto" w:sz="6" w:space="0"/>
              <w:bottom w:val="single" w:color="auto" w:sz="6" w:space="0"/>
              <w:right w:val="single" w:color="auto" w:sz="6" w:space="0"/>
            </w:tcBorders>
            <w:vAlign w:val="center"/>
          </w:tcPr>
          <w:p w14:paraId="7AAF9325">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1922" w:type="dxa"/>
            <w:tcBorders>
              <w:top w:val="single" w:color="auto" w:sz="6" w:space="0"/>
              <w:left w:val="single" w:color="auto" w:sz="6" w:space="0"/>
              <w:bottom w:val="single" w:color="auto" w:sz="6" w:space="0"/>
              <w:right w:val="double" w:color="auto" w:sz="4" w:space="0"/>
            </w:tcBorders>
            <w:vAlign w:val="center"/>
          </w:tcPr>
          <w:p w14:paraId="0EB51DE1">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1E90C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23" w:type="dxa"/>
            <w:vMerge w:val="restart"/>
            <w:tcBorders>
              <w:top w:val="single" w:color="auto" w:sz="6" w:space="0"/>
              <w:left w:val="double" w:color="auto" w:sz="4" w:space="0"/>
              <w:bottom w:val="single" w:color="auto" w:sz="6" w:space="0"/>
              <w:right w:val="single" w:color="auto" w:sz="6" w:space="0"/>
            </w:tcBorders>
            <w:vAlign w:val="center"/>
          </w:tcPr>
          <w:p w14:paraId="799481F1">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056" w:type="dxa"/>
            <w:gridSpan w:val="3"/>
            <w:tcBorders>
              <w:top w:val="single" w:color="auto" w:sz="6" w:space="0"/>
              <w:left w:val="single" w:color="auto" w:sz="6" w:space="0"/>
              <w:bottom w:val="single" w:color="auto" w:sz="6" w:space="0"/>
              <w:right w:val="single" w:color="auto" w:sz="6" w:space="0"/>
            </w:tcBorders>
            <w:vAlign w:val="center"/>
          </w:tcPr>
          <w:p w14:paraId="1C99964C">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注册号码</w:t>
            </w:r>
          </w:p>
        </w:tc>
        <w:tc>
          <w:tcPr>
            <w:tcW w:w="1448" w:type="dxa"/>
            <w:tcBorders>
              <w:top w:val="single" w:color="auto" w:sz="6" w:space="0"/>
              <w:left w:val="single" w:color="auto" w:sz="6" w:space="0"/>
              <w:bottom w:val="single" w:color="auto" w:sz="6" w:space="0"/>
              <w:right w:val="single" w:color="auto" w:sz="6" w:space="0"/>
            </w:tcBorders>
            <w:vAlign w:val="center"/>
          </w:tcPr>
          <w:p w14:paraId="28CC0A22">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385" w:type="dxa"/>
            <w:tcBorders>
              <w:top w:val="single" w:color="auto" w:sz="6" w:space="0"/>
              <w:left w:val="single" w:color="auto" w:sz="6" w:space="0"/>
              <w:bottom w:val="single" w:color="auto" w:sz="6" w:space="0"/>
              <w:right w:val="single" w:color="auto" w:sz="6" w:space="0"/>
            </w:tcBorders>
            <w:vAlign w:val="center"/>
          </w:tcPr>
          <w:p w14:paraId="1555691E">
            <w:pPr>
              <w:keepNext w:val="0"/>
              <w:keepLines w:val="0"/>
              <w:suppressLineNumbers w:val="0"/>
              <w:topLinePunct/>
              <w:spacing w:before="0" w:beforeAutospacing="0" w:after="0" w:afterAutospacing="0" w:line="440" w:lineRule="exact"/>
              <w:ind w:left="0" w:right="0"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259" w:type="dxa"/>
            <w:gridSpan w:val="2"/>
            <w:tcBorders>
              <w:top w:val="single" w:color="auto" w:sz="6" w:space="0"/>
              <w:left w:val="single" w:color="auto" w:sz="6" w:space="0"/>
              <w:bottom w:val="single" w:color="auto" w:sz="6" w:space="0"/>
              <w:right w:val="double" w:color="auto" w:sz="4" w:space="0"/>
            </w:tcBorders>
            <w:vAlign w:val="center"/>
          </w:tcPr>
          <w:p w14:paraId="34621883">
            <w:pPr>
              <w:keepNext w:val="0"/>
              <w:keepLines w:val="0"/>
              <w:suppressLineNumbers w:val="0"/>
              <w:topLinePunct/>
              <w:spacing w:before="0" w:beforeAutospacing="0" w:after="0" w:afterAutospacing="0" w:line="440" w:lineRule="exact"/>
              <w:ind w:left="0" w:right="0" w:firstLine="105" w:firstLineChars="50"/>
              <w:jc w:val="center"/>
              <w:rPr>
                <w:rFonts w:hint="eastAsia" w:ascii="宋体" w:hAnsi="宋体" w:eastAsia="宋体" w:cs="宋体"/>
                <w:color w:val="auto"/>
                <w:szCs w:val="21"/>
                <w:highlight w:val="none"/>
              </w:rPr>
            </w:pPr>
          </w:p>
        </w:tc>
      </w:tr>
      <w:tr w14:paraId="048FA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23" w:type="dxa"/>
            <w:vMerge w:val="continue"/>
            <w:tcBorders>
              <w:top w:val="single" w:color="auto" w:sz="6" w:space="0"/>
              <w:left w:val="double" w:color="auto" w:sz="4" w:space="0"/>
              <w:bottom w:val="single" w:color="auto" w:sz="6" w:space="0"/>
              <w:right w:val="single" w:color="auto" w:sz="6" w:space="0"/>
            </w:tcBorders>
            <w:vAlign w:val="center"/>
          </w:tcPr>
          <w:p w14:paraId="14DED882">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056" w:type="dxa"/>
            <w:gridSpan w:val="3"/>
            <w:tcBorders>
              <w:top w:val="single" w:color="auto" w:sz="6" w:space="0"/>
              <w:left w:val="single" w:color="auto" w:sz="6" w:space="0"/>
              <w:bottom w:val="single" w:color="auto" w:sz="6" w:space="0"/>
              <w:right w:val="single" w:color="auto" w:sz="6" w:space="0"/>
            </w:tcBorders>
            <w:vAlign w:val="center"/>
          </w:tcPr>
          <w:p w14:paraId="3831B430">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1448" w:type="dxa"/>
            <w:tcBorders>
              <w:top w:val="single" w:color="auto" w:sz="6" w:space="0"/>
              <w:left w:val="single" w:color="auto" w:sz="6" w:space="0"/>
              <w:bottom w:val="single" w:color="auto" w:sz="6" w:space="0"/>
              <w:right w:val="single" w:color="auto" w:sz="6" w:space="0"/>
            </w:tcBorders>
            <w:vAlign w:val="center"/>
          </w:tcPr>
          <w:p w14:paraId="638A7308">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c>
          <w:tcPr>
            <w:tcW w:w="1385" w:type="dxa"/>
            <w:tcBorders>
              <w:top w:val="single" w:color="auto" w:sz="6" w:space="0"/>
              <w:left w:val="single" w:color="auto" w:sz="6" w:space="0"/>
              <w:bottom w:val="single" w:color="auto" w:sz="6" w:space="0"/>
              <w:right w:val="single" w:color="auto" w:sz="6" w:space="0"/>
            </w:tcBorders>
            <w:vAlign w:val="center"/>
          </w:tcPr>
          <w:p w14:paraId="4FA6C021">
            <w:pPr>
              <w:keepNext w:val="0"/>
              <w:keepLines w:val="0"/>
              <w:suppressLineNumbers w:val="0"/>
              <w:topLinePunct/>
              <w:spacing w:before="0" w:beforeAutospacing="0" w:after="0" w:afterAutospacing="0" w:line="440" w:lineRule="exact"/>
              <w:ind w:left="0" w:right="0"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发证日期</w:t>
            </w:r>
          </w:p>
        </w:tc>
        <w:tc>
          <w:tcPr>
            <w:tcW w:w="3259" w:type="dxa"/>
            <w:gridSpan w:val="2"/>
            <w:tcBorders>
              <w:top w:val="single" w:color="auto" w:sz="6" w:space="0"/>
              <w:left w:val="single" w:color="auto" w:sz="6" w:space="0"/>
              <w:bottom w:val="single" w:color="auto" w:sz="6" w:space="0"/>
              <w:right w:val="double" w:color="auto" w:sz="4" w:space="0"/>
            </w:tcBorders>
            <w:vAlign w:val="center"/>
          </w:tcPr>
          <w:p w14:paraId="267C6E83">
            <w:pPr>
              <w:keepNext w:val="0"/>
              <w:keepLines w:val="0"/>
              <w:suppressLineNumbers w:val="0"/>
              <w:topLinePunct/>
              <w:spacing w:before="0" w:beforeAutospacing="0" w:after="0" w:afterAutospacing="0" w:line="440" w:lineRule="exact"/>
              <w:ind w:left="0" w:right="0" w:firstLine="105" w:firstLineChars="50"/>
              <w:jc w:val="center"/>
              <w:rPr>
                <w:rFonts w:hint="eastAsia" w:ascii="宋体" w:hAnsi="宋体" w:eastAsia="宋体" w:cs="宋体"/>
                <w:color w:val="auto"/>
                <w:szCs w:val="21"/>
                <w:highlight w:val="none"/>
              </w:rPr>
            </w:pPr>
          </w:p>
        </w:tc>
      </w:tr>
      <w:tr w14:paraId="29DEC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23" w:type="dxa"/>
            <w:vMerge w:val="continue"/>
            <w:tcBorders>
              <w:top w:val="single" w:color="auto" w:sz="6" w:space="0"/>
              <w:left w:val="double" w:color="auto" w:sz="4" w:space="0"/>
              <w:bottom w:val="single" w:color="auto" w:sz="6" w:space="0"/>
              <w:right w:val="single" w:color="auto" w:sz="6" w:space="0"/>
            </w:tcBorders>
            <w:vAlign w:val="center"/>
          </w:tcPr>
          <w:p w14:paraId="50825476">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056" w:type="dxa"/>
            <w:gridSpan w:val="3"/>
            <w:tcBorders>
              <w:top w:val="single" w:color="auto" w:sz="6" w:space="0"/>
              <w:left w:val="single" w:color="auto" w:sz="6" w:space="0"/>
              <w:bottom w:val="single" w:color="auto" w:sz="6" w:space="0"/>
              <w:right w:val="single" w:color="auto" w:sz="6" w:space="0"/>
            </w:tcBorders>
            <w:vAlign w:val="center"/>
          </w:tcPr>
          <w:p w14:paraId="2026C094">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营业范围（主营）</w:t>
            </w:r>
          </w:p>
        </w:tc>
        <w:tc>
          <w:tcPr>
            <w:tcW w:w="6092" w:type="dxa"/>
            <w:gridSpan w:val="4"/>
            <w:tcBorders>
              <w:top w:val="single" w:color="auto" w:sz="6" w:space="0"/>
              <w:left w:val="single" w:color="auto" w:sz="6" w:space="0"/>
              <w:bottom w:val="single" w:color="auto" w:sz="6" w:space="0"/>
              <w:right w:val="double" w:color="auto" w:sz="4" w:space="0"/>
            </w:tcBorders>
            <w:vAlign w:val="center"/>
          </w:tcPr>
          <w:p w14:paraId="3051E3E3">
            <w:pPr>
              <w:keepNext w:val="0"/>
              <w:keepLines w:val="0"/>
              <w:suppressLineNumbers w:val="0"/>
              <w:topLinePunct/>
              <w:spacing w:before="0" w:beforeAutospacing="0" w:after="0" w:afterAutospacing="0" w:line="440" w:lineRule="exact"/>
              <w:ind w:left="0" w:right="0" w:firstLine="105" w:firstLineChars="50"/>
              <w:jc w:val="center"/>
              <w:rPr>
                <w:rFonts w:hint="eastAsia" w:ascii="宋体" w:hAnsi="宋体" w:eastAsia="宋体" w:cs="宋体"/>
                <w:color w:val="auto"/>
                <w:szCs w:val="21"/>
                <w:highlight w:val="none"/>
              </w:rPr>
            </w:pPr>
          </w:p>
        </w:tc>
      </w:tr>
      <w:tr w14:paraId="4C4A9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23" w:type="dxa"/>
            <w:vMerge w:val="continue"/>
            <w:tcBorders>
              <w:top w:val="single" w:color="auto" w:sz="6" w:space="0"/>
              <w:left w:val="double" w:color="auto" w:sz="4" w:space="0"/>
              <w:bottom w:val="single" w:color="auto" w:sz="6" w:space="0"/>
              <w:right w:val="single" w:color="auto" w:sz="6" w:space="0"/>
            </w:tcBorders>
            <w:vAlign w:val="center"/>
          </w:tcPr>
          <w:p w14:paraId="5A1B30A9">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056" w:type="dxa"/>
            <w:gridSpan w:val="3"/>
            <w:tcBorders>
              <w:top w:val="single" w:color="auto" w:sz="6" w:space="0"/>
              <w:left w:val="single" w:color="auto" w:sz="6" w:space="0"/>
              <w:bottom w:val="single" w:color="auto" w:sz="6" w:space="0"/>
              <w:right w:val="single" w:color="auto" w:sz="6" w:space="0"/>
            </w:tcBorders>
            <w:vAlign w:val="center"/>
          </w:tcPr>
          <w:p w14:paraId="799D61A0">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营业范围（兼营）</w:t>
            </w:r>
          </w:p>
        </w:tc>
        <w:tc>
          <w:tcPr>
            <w:tcW w:w="6092" w:type="dxa"/>
            <w:gridSpan w:val="4"/>
            <w:tcBorders>
              <w:top w:val="single" w:color="auto" w:sz="6" w:space="0"/>
              <w:left w:val="single" w:color="auto" w:sz="6" w:space="0"/>
              <w:bottom w:val="single" w:color="auto" w:sz="6" w:space="0"/>
              <w:right w:val="double" w:color="auto" w:sz="4" w:space="0"/>
            </w:tcBorders>
            <w:vAlign w:val="center"/>
          </w:tcPr>
          <w:p w14:paraId="0DA5B6C7">
            <w:pPr>
              <w:keepNext w:val="0"/>
              <w:keepLines w:val="0"/>
              <w:suppressLineNumbers w:val="0"/>
              <w:topLinePunct/>
              <w:spacing w:before="0" w:beforeAutospacing="0" w:after="0" w:afterAutospacing="0" w:line="440" w:lineRule="exact"/>
              <w:ind w:left="0" w:right="0" w:firstLine="105" w:firstLineChars="50"/>
              <w:jc w:val="center"/>
              <w:rPr>
                <w:rFonts w:hint="eastAsia" w:ascii="宋体" w:hAnsi="宋体" w:eastAsia="宋体" w:cs="宋体"/>
                <w:color w:val="auto"/>
                <w:szCs w:val="21"/>
                <w:highlight w:val="none"/>
              </w:rPr>
            </w:pPr>
          </w:p>
        </w:tc>
      </w:tr>
      <w:tr w14:paraId="743C0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trPr>
        <w:tc>
          <w:tcPr>
            <w:tcW w:w="2779" w:type="dxa"/>
            <w:gridSpan w:val="4"/>
            <w:tcBorders>
              <w:top w:val="single" w:color="auto" w:sz="6" w:space="0"/>
              <w:left w:val="double" w:color="auto" w:sz="4" w:space="0"/>
              <w:bottom w:val="single" w:color="auto" w:sz="6" w:space="0"/>
              <w:right w:val="single" w:color="auto" w:sz="6" w:space="0"/>
            </w:tcBorders>
            <w:vAlign w:val="center"/>
          </w:tcPr>
          <w:p w14:paraId="737254DF">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基本账户开户行及账号</w:t>
            </w:r>
          </w:p>
        </w:tc>
        <w:tc>
          <w:tcPr>
            <w:tcW w:w="6092" w:type="dxa"/>
            <w:gridSpan w:val="4"/>
            <w:tcBorders>
              <w:top w:val="single" w:color="auto" w:sz="6" w:space="0"/>
              <w:left w:val="single" w:color="auto" w:sz="6" w:space="0"/>
              <w:bottom w:val="single" w:color="auto" w:sz="6" w:space="0"/>
              <w:right w:val="double" w:color="auto" w:sz="4" w:space="0"/>
            </w:tcBorders>
            <w:vAlign w:val="center"/>
          </w:tcPr>
          <w:p w14:paraId="26665456">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34F67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trPr>
        <w:tc>
          <w:tcPr>
            <w:tcW w:w="2779" w:type="dxa"/>
            <w:gridSpan w:val="4"/>
            <w:tcBorders>
              <w:top w:val="single" w:color="auto" w:sz="6" w:space="0"/>
              <w:left w:val="double" w:color="auto" w:sz="4" w:space="0"/>
              <w:bottom w:val="single" w:color="auto" w:sz="6" w:space="0"/>
              <w:right w:val="single" w:color="auto" w:sz="6" w:space="0"/>
            </w:tcBorders>
            <w:vAlign w:val="center"/>
          </w:tcPr>
          <w:p w14:paraId="10F96158">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92" w:type="dxa"/>
            <w:gridSpan w:val="4"/>
            <w:tcBorders>
              <w:top w:val="single" w:color="auto" w:sz="6" w:space="0"/>
              <w:left w:val="single" w:color="auto" w:sz="6" w:space="0"/>
              <w:bottom w:val="single" w:color="auto" w:sz="6" w:space="0"/>
              <w:right w:val="double" w:color="auto" w:sz="4" w:space="0"/>
            </w:tcBorders>
            <w:vAlign w:val="center"/>
          </w:tcPr>
          <w:p w14:paraId="1BB3C3D1">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p>
        </w:tc>
      </w:tr>
      <w:tr w14:paraId="5CF0F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6" w:hRule="atLeast"/>
        </w:trPr>
        <w:tc>
          <w:tcPr>
            <w:tcW w:w="1265" w:type="dxa"/>
            <w:gridSpan w:val="2"/>
            <w:tcBorders>
              <w:top w:val="single" w:color="auto" w:sz="6" w:space="0"/>
              <w:left w:val="double" w:color="auto" w:sz="4" w:space="0"/>
              <w:bottom w:val="double" w:color="auto" w:sz="4" w:space="0"/>
              <w:right w:val="single" w:color="auto" w:sz="6" w:space="0"/>
            </w:tcBorders>
            <w:vAlign w:val="center"/>
          </w:tcPr>
          <w:p w14:paraId="198E62B0">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606" w:type="dxa"/>
            <w:gridSpan w:val="6"/>
            <w:tcBorders>
              <w:top w:val="single" w:color="auto" w:sz="6" w:space="0"/>
              <w:left w:val="single" w:color="auto" w:sz="6" w:space="0"/>
              <w:bottom w:val="double" w:color="auto" w:sz="4" w:space="0"/>
              <w:right w:val="double" w:color="auto" w:sz="4" w:space="0"/>
            </w:tcBorders>
            <w:vAlign w:val="center"/>
          </w:tcPr>
          <w:p w14:paraId="1415CBE0">
            <w:pPr>
              <w:keepNext w:val="0"/>
              <w:keepLines w:val="0"/>
              <w:suppressLineNumbers w:val="0"/>
              <w:topLinePunct/>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附《营业执照》（副本）</w:t>
            </w:r>
            <w:r>
              <w:rPr>
                <w:rFonts w:hint="eastAsia" w:ascii="宋体" w:hAnsi="宋体" w:eastAsia="宋体" w:cs="宋体"/>
                <w:color w:val="auto"/>
                <w:szCs w:val="21"/>
                <w:highlight w:val="none"/>
                <w:lang w:val="en-US" w:eastAsia="zh-CN"/>
              </w:rPr>
              <w:t>扫描</w:t>
            </w:r>
            <w:r>
              <w:rPr>
                <w:rFonts w:hint="eastAsia" w:ascii="宋体" w:hAnsi="宋体" w:eastAsia="宋体" w:cs="宋体"/>
                <w:color w:val="auto"/>
                <w:szCs w:val="21"/>
                <w:highlight w:val="none"/>
              </w:rPr>
              <w:t>件</w:t>
            </w:r>
          </w:p>
        </w:tc>
      </w:tr>
    </w:tbl>
    <w:p w14:paraId="0B9E76FA">
      <w:pPr>
        <w:spacing w:line="480" w:lineRule="exact"/>
        <w:rPr>
          <w:rFonts w:hint="eastAsia" w:ascii="宋体" w:hAnsi="宋体" w:eastAsia="宋体" w:cs="宋体"/>
          <w:color w:val="auto"/>
          <w:sz w:val="30"/>
          <w:szCs w:val="30"/>
          <w:highlight w:val="none"/>
        </w:rPr>
      </w:pPr>
    </w:p>
    <w:p w14:paraId="770A48FA">
      <w:pPr>
        <w:widowControl/>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645F902E">
      <w:pPr>
        <w:spacing w:line="48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cs="宋体"/>
          <w:color w:val="auto"/>
          <w:sz w:val="30"/>
          <w:szCs w:val="30"/>
          <w:highlight w:val="none"/>
          <w:lang w:val="en-US" w:eastAsia="zh-CN"/>
        </w:rPr>
        <w:t>4</w:t>
      </w:r>
      <w:r>
        <w:rPr>
          <w:rFonts w:hint="eastAsia" w:ascii="宋体" w:hAnsi="宋体" w:eastAsia="宋体" w:cs="宋体"/>
          <w:color w:val="auto"/>
          <w:sz w:val="30"/>
          <w:szCs w:val="30"/>
          <w:highlight w:val="none"/>
        </w:rPr>
        <w:t>-1      磋商文件规定的基本资格条件证明资料</w:t>
      </w:r>
    </w:p>
    <w:p w14:paraId="422C548B">
      <w:pPr>
        <w:spacing w:line="480" w:lineRule="exact"/>
        <w:rPr>
          <w:rFonts w:hint="eastAsia" w:ascii="宋体" w:hAnsi="宋体" w:eastAsia="宋体" w:cs="宋体"/>
          <w:color w:val="auto"/>
          <w:szCs w:val="21"/>
          <w:highlight w:val="none"/>
        </w:rPr>
      </w:pPr>
    </w:p>
    <w:p w14:paraId="5A7B2097">
      <w:pPr>
        <w:pStyle w:val="64"/>
        <w:rPr>
          <w:rFonts w:hint="eastAsia" w:ascii="宋体" w:hAnsi="宋体" w:eastAsia="宋体" w:cs="宋体"/>
          <w:color w:val="auto"/>
          <w:szCs w:val="20"/>
          <w:highlight w:val="none"/>
        </w:rPr>
      </w:pPr>
      <w:r>
        <w:rPr>
          <w:rFonts w:hint="eastAsia" w:ascii="宋体" w:hAnsi="宋体" w:eastAsia="宋体" w:cs="宋体"/>
          <w:color w:val="auto"/>
          <w:szCs w:val="21"/>
          <w:highlight w:val="none"/>
        </w:rPr>
        <w:t>提供第二章 磋商须知第3.1款供应商基本资格条件证明资料的</w:t>
      </w:r>
      <w:r>
        <w:rPr>
          <w:rFonts w:hint="eastAsia" w:ascii="宋体" w:hAnsi="宋体" w:eastAsia="宋体" w:cs="宋体"/>
          <w:color w:val="auto"/>
          <w:szCs w:val="21"/>
          <w:highlight w:val="none"/>
          <w:lang w:val="en-US" w:eastAsia="zh-CN"/>
        </w:rPr>
        <w:t>扫描</w:t>
      </w:r>
      <w:r>
        <w:rPr>
          <w:rFonts w:hint="eastAsia" w:ascii="宋体" w:hAnsi="宋体" w:eastAsia="宋体" w:cs="宋体"/>
          <w:color w:val="auto"/>
          <w:szCs w:val="21"/>
          <w:highlight w:val="none"/>
        </w:rPr>
        <w:t>件。</w:t>
      </w:r>
    </w:p>
    <w:p w14:paraId="271B1A6E">
      <w:pPr>
        <w:spacing w:line="48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w:t>
      </w:r>
      <w:r>
        <w:rPr>
          <w:rFonts w:hint="eastAsia" w:ascii="宋体" w:hAnsi="宋体" w:cs="宋体"/>
          <w:color w:val="auto"/>
          <w:sz w:val="30"/>
          <w:szCs w:val="30"/>
          <w:highlight w:val="none"/>
          <w:lang w:val="en-US" w:eastAsia="zh-CN"/>
        </w:rPr>
        <w:t>4</w:t>
      </w:r>
      <w:r>
        <w:rPr>
          <w:rFonts w:hint="eastAsia" w:ascii="宋体" w:hAnsi="宋体" w:eastAsia="宋体" w:cs="宋体"/>
          <w:color w:val="auto"/>
          <w:sz w:val="30"/>
          <w:szCs w:val="30"/>
          <w:highlight w:val="none"/>
        </w:rPr>
        <w:t>-2  磋商文件规定的特定资格条件证明资料</w:t>
      </w:r>
    </w:p>
    <w:p w14:paraId="7A78C68D">
      <w:pPr>
        <w:spacing w:line="480" w:lineRule="exact"/>
        <w:rPr>
          <w:rFonts w:hint="eastAsia" w:ascii="宋体" w:hAnsi="宋体" w:eastAsia="宋体" w:cs="宋体"/>
          <w:color w:val="auto"/>
          <w:szCs w:val="21"/>
          <w:highlight w:val="none"/>
        </w:rPr>
      </w:pPr>
    </w:p>
    <w:p w14:paraId="6877D35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备注：提供第二章 磋商须知第3.1款供应商特定资格条件证明资料的</w:t>
      </w:r>
      <w:r>
        <w:rPr>
          <w:rFonts w:hint="eastAsia" w:ascii="宋体" w:hAnsi="宋体" w:cs="宋体"/>
          <w:color w:val="auto"/>
          <w:szCs w:val="21"/>
          <w:highlight w:val="none"/>
          <w:lang w:val="en-US" w:eastAsia="zh-CN"/>
        </w:rPr>
        <w:t>扫描</w:t>
      </w:r>
      <w:r>
        <w:rPr>
          <w:rFonts w:hint="eastAsia" w:ascii="宋体" w:hAnsi="宋体" w:eastAsia="宋体" w:cs="宋体"/>
          <w:color w:val="auto"/>
          <w:szCs w:val="21"/>
          <w:highlight w:val="none"/>
        </w:rPr>
        <w:t>件。</w:t>
      </w:r>
    </w:p>
    <w:p w14:paraId="1A5E75E3">
      <w:pPr>
        <w:adjustRightInd w:val="0"/>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附件</w:t>
      </w:r>
      <w:r>
        <w:rPr>
          <w:rFonts w:hint="eastAsia" w:ascii="宋体" w:hAnsi="宋体" w:cs="宋体"/>
          <w:b/>
          <w:color w:val="auto"/>
          <w:sz w:val="30"/>
          <w:szCs w:val="30"/>
          <w:highlight w:val="none"/>
          <w:lang w:val="en-US" w:eastAsia="zh-CN"/>
        </w:rPr>
        <w:t>5</w:t>
      </w:r>
      <w:r>
        <w:rPr>
          <w:rFonts w:hint="eastAsia" w:ascii="宋体" w:hAnsi="宋体" w:eastAsia="宋体" w:cs="宋体"/>
          <w:b/>
          <w:color w:val="auto"/>
          <w:sz w:val="30"/>
          <w:szCs w:val="30"/>
          <w:highlight w:val="none"/>
        </w:rPr>
        <w:t xml:space="preserve">           其他证明资料或说明</w:t>
      </w:r>
    </w:p>
    <w:p w14:paraId="29B1D371">
      <w:pPr>
        <w:adjustRightInd w:val="0"/>
        <w:snapToGrid w:val="0"/>
        <w:spacing w:line="360" w:lineRule="auto"/>
        <w:rPr>
          <w:rFonts w:hint="eastAsia" w:ascii="宋体" w:hAnsi="宋体" w:eastAsia="宋体" w:cs="宋体"/>
          <w:color w:val="auto"/>
          <w:szCs w:val="21"/>
          <w:highlight w:val="none"/>
        </w:rPr>
      </w:pPr>
    </w:p>
    <w:p w14:paraId="7213C7A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提供磋商文件或评分标准需要提供的相关证明文件</w:t>
      </w:r>
      <w:r>
        <w:rPr>
          <w:rFonts w:hint="eastAsia" w:ascii="宋体" w:hAnsi="宋体" w:cs="宋体"/>
          <w:color w:val="auto"/>
          <w:szCs w:val="21"/>
          <w:highlight w:val="none"/>
          <w:lang w:val="en-US" w:eastAsia="zh-CN"/>
        </w:rPr>
        <w:t>扫描</w:t>
      </w:r>
      <w:r>
        <w:rPr>
          <w:rFonts w:hint="eastAsia" w:ascii="宋体" w:hAnsi="宋体" w:eastAsia="宋体" w:cs="宋体"/>
          <w:color w:val="auto"/>
          <w:szCs w:val="21"/>
          <w:highlight w:val="none"/>
        </w:rPr>
        <w:t>件</w:t>
      </w:r>
    </w:p>
    <w:p w14:paraId="1E4E79B7">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57" w:name="_Toc5026_WPSOffice_Level2"/>
      <w:r>
        <w:rPr>
          <w:rFonts w:hint="eastAsia" w:ascii="宋体" w:hAnsi="宋体" w:eastAsia="宋体" w:cs="宋体"/>
          <w:b/>
          <w:color w:val="auto"/>
          <w:sz w:val="32"/>
          <w:szCs w:val="32"/>
          <w:highlight w:val="none"/>
        </w:rPr>
        <w:t>四、</w:t>
      </w:r>
      <w:bookmarkEnd w:id="57"/>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方案说明</w:t>
      </w:r>
    </w:p>
    <w:p w14:paraId="3DFE4F1A">
      <w:pPr>
        <w:adjustRightInd w:val="0"/>
        <w:snapToGrid w:val="0"/>
        <w:spacing w:line="360" w:lineRule="auto"/>
        <w:jc w:val="center"/>
        <w:rPr>
          <w:rFonts w:hint="eastAsia" w:ascii="宋体" w:hAnsi="宋体" w:eastAsia="宋体" w:cs="宋体"/>
          <w:b/>
          <w:color w:val="auto"/>
          <w:sz w:val="32"/>
          <w:szCs w:val="32"/>
          <w:highlight w:val="none"/>
        </w:rPr>
      </w:pPr>
    </w:p>
    <w:p w14:paraId="68B60439">
      <w:pPr>
        <w:adjustRightInd w:val="0"/>
        <w:snapToGrid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cs="宋体"/>
          <w:color w:val="auto"/>
          <w:sz w:val="30"/>
          <w:szCs w:val="30"/>
          <w:highlight w:val="none"/>
          <w:lang w:val="en-US" w:eastAsia="zh-CN"/>
        </w:rPr>
        <w:t>6</w:t>
      </w:r>
      <w:r>
        <w:rPr>
          <w:rFonts w:hint="eastAsia" w:ascii="宋体" w:hAnsi="宋体" w:eastAsia="宋体" w:cs="宋体"/>
          <w:color w:val="auto"/>
          <w:sz w:val="30"/>
          <w:szCs w:val="30"/>
          <w:highlight w:val="none"/>
        </w:rPr>
        <w:t>：</w:t>
      </w:r>
    </w:p>
    <w:p w14:paraId="0AE3986F">
      <w:pPr>
        <w:adjustRightInd w:val="0"/>
        <w:snapToGrid w:val="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服务</w:t>
      </w:r>
      <w:r>
        <w:rPr>
          <w:rFonts w:hint="eastAsia" w:ascii="宋体" w:hAnsi="宋体" w:eastAsia="宋体" w:cs="宋体"/>
          <w:b/>
          <w:color w:val="auto"/>
          <w:sz w:val="30"/>
          <w:szCs w:val="30"/>
          <w:highlight w:val="none"/>
        </w:rPr>
        <w:t>方案说明</w:t>
      </w:r>
    </w:p>
    <w:p w14:paraId="67EA9AC0">
      <w:pPr>
        <w:adjustRightInd w:val="0"/>
        <w:snapToGrid w:val="0"/>
        <w:rPr>
          <w:rFonts w:hint="eastAsia" w:ascii="宋体" w:hAnsi="宋体" w:eastAsia="宋体" w:cs="宋体"/>
          <w:color w:val="auto"/>
          <w:szCs w:val="21"/>
          <w:highlight w:val="none"/>
        </w:rPr>
      </w:pPr>
    </w:p>
    <w:p w14:paraId="2E28D6D0">
      <w:pPr>
        <w:adjustRightInd w:val="0"/>
        <w:snapToGrid w:val="0"/>
        <w:ind w:firstLine="210" w:firstLineChars="100"/>
        <w:rPr>
          <w:rFonts w:hint="eastAsia" w:ascii="宋体" w:hAnsi="宋体" w:eastAsia="宋体" w:cs="宋体"/>
          <w:color w:val="auto"/>
          <w:sz w:val="24"/>
          <w:highlight w:val="none"/>
        </w:rPr>
      </w:pP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类项目供应商应根据第四章规定及评分标准编写</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方案。</w:t>
      </w:r>
    </w:p>
    <w:p w14:paraId="0ED2F171">
      <w:pPr>
        <w:adjustRightInd w:val="0"/>
        <w:snapToGrid w:val="0"/>
        <w:rPr>
          <w:rFonts w:hint="eastAsia" w:ascii="宋体" w:hAnsi="宋体" w:eastAsia="宋体" w:cs="宋体"/>
          <w:color w:val="auto"/>
          <w:szCs w:val="21"/>
          <w:highlight w:val="none"/>
        </w:rPr>
      </w:pPr>
    </w:p>
    <w:p w14:paraId="61E9199C">
      <w:pPr>
        <w:adjustRightInd w:val="0"/>
        <w:snapToGrid w:val="0"/>
        <w:rPr>
          <w:rFonts w:hint="eastAsia" w:ascii="宋体" w:hAnsi="宋体" w:eastAsia="宋体" w:cs="宋体"/>
          <w:color w:val="auto"/>
          <w:szCs w:val="21"/>
          <w:highlight w:val="none"/>
        </w:rPr>
      </w:pPr>
    </w:p>
    <w:p w14:paraId="1FDFD399">
      <w:pPr>
        <w:adjustRightInd w:val="0"/>
        <w:snapToGrid w:val="0"/>
        <w:rPr>
          <w:rFonts w:hint="eastAsia" w:ascii="宋体" w:hAnsi="宋体" w:eastAsia="宋体" w:cs="宋体"/>
          <w:color w:val="auto"/>
          <w:szCs w:val="21"/>
          <w:highlight w:val="none"/>
        </w:rPr>
      </w:pPr>
    </w:p>
    <w:p w14:paraId="47E1D72A">
      <w:pPr>
        <w:adjustRightInd w:val="0"/>
        <w:snapToGrid w:val="0"/>
        <w:rPr>
          <w:rFonts w:hint="eastAsia" w:ascii="宋体" w:hAnsi="宋体" w:eastAsia="宋体" w:cs="宋体"/>
          <w:color w:val="auto"/>
          <w:szCs w:val="21"/>
          <w:highlight w:val="none"/>
        </w:rPr>
      </w:pPr>
    </w:p>
    <w:p w14:paraId="44E153E2">
      <w:pPr>
        <w:adjustRightInd w:val="0"/>
        <w:snapToGrid w:val="0"/>
        <w:rPr>
          <w:rFonts w:hint="eastAsia" w:ascii="宋体" w:hAnsi="宋体" w:eastAsia="宋体" w:cs="宋体"/>
          <w:color w:val="auto"/>
          <w:szCs w:val="21"/>
          <w:highlight w:val="none"/>
        </w:rPr>
      </w:pPr>
    </w:p>
    <w:p w14:paraId="49603A09">
      <w:pPr>
        <w:adjustRightInd w:val="0"/>
        <w:snapToGrid w:val="0"/>
        <w:rPr>
          <w:rFonts w:hint="eastAsia" w:ascii="宋体" w:hAnsi="宋体" w:eastAsia="宋体" w:cs="宋体"/>
          <w:color w:val="auto"/>
          <w:szCs w:val="21"/>
          <w:highlight w:val="none"/>
        </w:rPr>
      </w:pPr>
    </w:p>
    <w:p w14:paraId="1C401DAA">
      <w:pPr>
        <w:adjustRightInd w:val="0"/>
        <w:snapToGrid w:val="0"/>
        <w:rPr>
          <w:rFonts w:hint="eastAsia" w:ascii="宋体" w:hAnsi="宋体" w:eastAsia="宋体" w:cs="宋体"/>
          <w:color w:val="auto"/>
          <w:szCs w:val="21"/>
          <w:highlight w:val="none"/>
        </w:rPr>
      </w:pPr>
    </w:p>
    <w:p w14:paraId="5A622174">
      <w:pPr>
        <w:adjustRightInd w:val="0"/>
        <w:snapToGrid w:val="0"/>
        <w:rPr>
          <w:rFonts w:hint="eastAsia" w:ascii="宋体" w:hAnsi="宋体" w:eastAsia="宋体" w:cs="宋体"/>
          <w:color w:val="auto"/>
          <w:szCs w:val="21"/>
          <w:highlight w:val="none"/>
        </w:rPr>
      </w:pPr>
    </w:p>
    <w:p w14:paraId="3AF9147D">
      <w:pPr>
        <w:adjustRightInd w:val="0"/>
        <w:snapToGrid w:val="0"/>
        <w:rPr>
          <w:rFonts w:hint="eastAsia" w:ascii="宋体" w:hAnsi="宋体" w:eastAsia="宋体" w:cs="宋体"/>
          <w:color w:val="auto"/>
          <w:szCs w:val="21"/>
          <w:highlight w:val="none"/>
        </w:rPr>
      </w:pPr>
    </w:p>
    <w:p w14:paraId="1BDB00C3">
      <w:pPr>
        <w:pStyle w:val="24"/>
        <w:adjustRightInd w:val="0"/>
        <w:snapToGrid w:val="0"/>
        <w:spacing w:line="360" w:lineRule="auto"/>
        <w:rPr>
          <w:rFonts w:hint="eastAsia" w:ascii="宋体" w:hAnsi="宋体" w:eastAsia="宋体" w:cs="宋体"/>
          <w:bCs/>
          <w:color w:val="auto"/>
          <w:sz w:val="21"/>
          <w:szCs w:val="21"/>
          <w:highlight w:val="none"/>
        </w:rPr>
      </w:pPr>
      <w:bookmarkStart w:id="58" w:name="_Toc29302"/>
      <w:r>
        <w:rPr>
          <w:rFonts w:hint="eastAsia" w:ascii="宋体" w:hAnsi="宋体" w:eastAsia="宋体" w:cs="宋体"/>
          <w:color w:val="auto"/>
          <w:sz w:val="21"/>
          <w:szCs w:val="21"/>
          <w:highlight w:val="none"/>
        </w:rPr>
        <w:t>供应商名称：</w:t>
      </w:r>
      <w:bookmarkEnd w:id="58"/>
      <w:r>
        <w:rPr>
          <w:rFonts w:hint="eastAsia" w:ascii="宋体" w:hAnsi="宋体" w:eastAsia="宋体" w:cs="宋体"/>
          <w:color w:val="auto"/>
          <w:sz w:val="21"/>
          <w:szCs w:val="21"/>
          <w:highlight w:val="none"/>
          <w:u w:val="single"/>
        </w:rPr>
        <w:t xml:space="preserve">                </w:t>
      </w:r>
    </w:p>
    <w:p w14:paraId="154684A6">
      <w:pPr>
        <w:adjustRightInd w:val="0"/>
        <w:snapToGrid w:val="0"/>
        <w:spacing w:line="360" w:lineRule="auto"/>
        <w:rPr>
          <w:rFonts w:hint="eastAsia" w:ascii="宋体" w:hAnsi="宋体" w:eastAsia="宋体" w:cs="宋体"/>
          <w:color w:val="auto"/>
          <w:szCs w:val="21"/>
          <w:highlight w:val="none"/>
        </w:rPr>
      </w:pPr>
      <w:bookmarkStart w:id="59" w:name="_Toc13098"/>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_</w:t>
      </w:r>
      <w:bookmarkEnd w:id="59"/>
    </w:p>
    <w:p w14:paraId="7BDAD710">
      <w:pPr>
        <w:spacing w:line="36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日期：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14:paraId="249BCAA8">
      <w:pPr>
        <w:adjustRightInd w:val="0"/>
        <w:snapToGrid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w:t>
      </w:r>
      <w:r>
        <w:rPr>
          <w:rFonts w:hint="eastAsia" w:ascii="宋体" w:hAnsi="宋体" w:cs="宋体"/>
          <w:color w:val="auto"/>
          <w:sz w:val="30"/>
          <w:szCs w:val="30"/>
          <w:highlight w:val="none"/>
          <w:lang w:val="en-US" w:eastAsia="zh-CN"/>
        </w:rPr>
        <w:t>6</w:t>
      </w:r>
      <w:r>
        <w:rPr>
          <w:rFonts w:hint="eastAsia" w:ascii="宋体" w:hAnsi="宋体" w:eastAsia="宋体" w:cs="宋体"/>
          <w:color w:val="auto"/>
          <w:sz w:val="30"/>
          <w:szCs w:val="30"/>
          <w:highlight w:val="none"/>
        </w:rPr>
        <w:t>-2：</w:t>
      </w:r>
    </w:p>
    <w:p w14:paraId="3BEF114A">
      <w:pPr>
        <w:spacing w:line="360" w:lineRule="atLeas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主要人员简历表</w:t>
      </w:r>
    </w:p>
    <w:p w14:paraId="15E51DCA">
      <w:pPr>
        <w:spacing w:line="360" w:lineRule="atLeast"/>
        <w:jc w:val="center"/>
        <w:rPr>
          <w:rFonts w:hint="eastAsia" w:ascii="宋体" w:hAnsi="宋体" w:eastAsia="宋体" w:cs="宋体"/>
          <w:color w:val="auto"/>
          <w:sz w:val="28"/>
          <w:szCs w:val="28"/>
          <w:highlight w:val="none"/>
        </w:rPr>
      </w:pPr>
    </w:p>
    <w:tbl>
      <w:tblPr>
        <w:tblStyle w:val="44"/>
        <w:tblW w:w="883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9"/>
        <w:gridCol w:w="802"/>
        <w:gridCol w:w="2564"/>
        <w:gridCol w:w="411"/>
        <w:gridCol w:w="1458"/>
        <w:gridCol w:w="562"/>
        <w:gridCol w:w="1728"/>
      </w:tblGrid>
      <w:tr w14:paraId="1B56B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8" w:hRule="exact"/>
        </w:trPr>
        <w:tc>
          <w:tcPr>
            <w:tcW w:w="2111" w:type="dxa"/>
            <w:gridSpan w:val="2"/>
            <w:tcBorders>
              <w:top w:val="double" w:color="auto" w:sz="4" w:space="0"/>
              <w:left w:val="double" w:color="auto" w:sz="4" w:space="0"/>
              <w:bottom w:val="single" w:color="auto" w:sz="6" w:space="0"/>
              <w:right w:val="single" w:color="auto" w:sz="6" w:space="0"/>
            </w:tcBorders>
            <w:vAlign w:val="center"/>
          </w:tcPr>
          <w:p w14:paraId="776B5D05">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2564" w:type="dxa"/>
            <w:tcBorders>
              <w:top w:val="double" w:color="auto" w:sz="4" w:space="0"/>
              <w:left w:val="single" w:color="auto" w:sz="6" w:space="0"/>
              <w:bottom w:val="single" w:color="auto" w:sz="6" w:space="0"/>
              <w:right w:val="single" w:color="auto" w:sz="6" w:space="0"/>
            </w:tcBorders>
            <w:vAlign w:val="center"/>
          </w:tcPr>
          <w:p w14:paraId="3B6CEE2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2431" w:type="dxa"/>
            <w:gridSpan w:val="3"/>
            <w:tcBorders>
              <w:top w:val="double" w:color="auto" w:sz="4" w:space="0"/>
              <w:left w:val="single" w:color="auto" w:sz="6" w:space="0"/>
              <w:bottom w:val="single" w:color="auto" w:sz="6" w:space="0"/>
              <w:right w:val="single" w:color="auto" w:sz="6" w:space="0"/>
            </w:tcBorders>
            <w:vAlign w:val="center"/>
          </w:tcPr>
          <w:p w14:paraId="2B956F8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728" w:type="dxa"/>
            <w:tcBorders>
              <w:top w:val="double" w:color="auto" w:sz="4" w:space="0"/>
              <w:left w:val="single" w:color="auto" w:sz="6" w:space="0"/>
              <w:bottom w:val="single" w:color="auto" w:sz="6" w:space="0"/>
              <w:right w:val="double" w:color="auto" w:sz="4" w:space="0"/>
            </w:tcBorders>
            <w:vAlign w:val="center"/>
          </w:tcPr>
          <w:p w14:paraId="2F696A35">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r>
      <w:tr w14:paraId="4E9AB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exact"/>
        </w:trPr>
        <w:tc>
          <w:tcPr>
            <w:tcW w:w="2111" w:type="dxa"/>
            <w:gridSpan w:val="2"/>
            <w:tcBorders>
              <w:top w:val="single" w:color="auto" w:sz="6" w:space="0"/>
              <w:left w:val="double" w:color="auto" w:sz="4" w:space="0"/>
              <w:bottom w:val="single" w:color="auto" w:sz="6" w:space="0"/>
              <w:right w:val="single" w:color="auto" w:sz="6" w:space="0"/>
            </w:tcBorders>
            <w:vAlign w:val="center"/>
          </w:tcPr>
          <w:p w14:paraId="6664DC52">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毕业学校、专业</w:t>
            </w:r>
          </w:p>
        </w:tc>
        <w:tc>
          <w:tcPr>
            <w:tcW w:w="6723" w:type="dxa"/>
            <w:gridSpan w:val="5"/>
            <w:tcBorders>
              <w:top w:val="single" w:color="auto" w:sz="6" w:space="0"/>
              <w:left w:val="single" w:color="auto" w:sz="6" w:space="0"/>
              <w:bottom w:val="single" w:color="auto" w:sz="6" w:space="0"/>
              <w:right w:val="double" w:color="auto" w:sz="4" w:space="0"/>
            </w:tcBorders>
            <w:vAlign w:val="center"/>
          </w:tcPr>
          <w:p w14:paraId="3125803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r>
      <w:tr w14:paraId="2F8EF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9" w:hRule="exact"/>
        </w:trPr>
        <w:tc>
          <w:tcPr>
            <w:tcW w:w="2111" w:type="dxa"/>
            <w:gridSpan w:val="2"/>
            <w:tcBorders>
              <w:top w:val="single" w:color="auto" w:sz="6" w:space="0"/>
              <w:left w:val="double" w:color="auto" w:sz="4" w:space="0"/>
              <w:bottom w:val="single" w:color="auto" w:sz="6" w:space="0"/>
              <w:right w:val="single" w:color="auto" w:sz="6" w:space="0"/>
            </w:tcBorders>
            <w:vAlign w:val="center"/>
          </w:tcPr>
          <w:p w14:paraId="4AF4705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2564" w:type="dxa"/>
            <w:tcBorders>
              <w:top w:val="single" w:color="auto" w:sz="6" w:space="0"/>
              <w:left w:val="single" w:color="auto" w:sz="6" w:space="0"/>
              <w:bottom w:val="single" w:color="auto" w:sz="6" w:space="0"/>
              <w:right w:val="single" w:color="auto" w:sz="6" w:space="0"/>
            </w:tcBorders>
            <w:vAlign w:val="center"/>
          </w:tcPr>
          <w:p w14:paraId="5F0BB3B4">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2431" w:type="dxa"/>
            <w:gridSpan w:val="3"/>
            <w:tcBorders>
              <w:top w:val="single" w:color="auto" w:sz="6" w:space="0"/>
              <w:left w:val="single" w:color="auto" w:sz="6" w:space="0"/>
              <w:bottom w:val="single" w:color="auto" w:sz="6" w:space="0"/>
              <w:right w:val="single" w:color="auto" w:sz="6" w:space="0"/>
            </w:tcBorders>
            <w:vAlign w:val="center"/>
          </w:tcPr>
          <w:p w14:paraId="24597A1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拟在本合同任职</w:t>
            </w:r>
          </w:p>
        </w:tc>
        <w:tc>
          <w:tcPr>
            <w:tcW w:w="1728" w:type="dxa"/>
            <w:tcBorders>
              <w:top w:val="single" w:color="auto" w:sz="6" w:space="0"/>
              <w:left w:val="single" w:color="auto" w:sz="6" w:space="0"/>
              <w:bottom w:val="single" w:color="auto" w:sz="6" w:space="0"/>
              <w:right w:val="double" w:color="auto" w:sz="4" w:space="0"/>
            </w:tcBorders>
            <w:vAlign w:val="center"/>
          </w:tcPr>
          <w:p w14:paraId="07977C2B">
            <w:pPr>
              <w:keepNext w:val="0"/>
              <w:keepLines w:val="0"/>
              <w:suppressLineNumbers w:val="0"/>
              <w:spacing w:before="0" w:beforeAutospacing="0" w:after="0" w:afterAutospacing="0" w:line="360" w:lineRule="atLeast"/>
              <w:ind w:left="0" w:right="-105" w:rightChars="-50"/>
              <w:jc w:val="center"/>
              <w:rPr>
                <w:rFonts w:hint="eastAsia" w:ascii="宋体" w:hAnsi="宋体" w:eastAsia="宋体" w:cs="宋体"/>
                <w:color w:val="auto"/>
                <w:highlight w:val="none"/>
              </w:rPr>
            </w:pPr>
          </w:p>
        </w:tc>
      </w:tr>
      <w:tr w14:paraId="03E86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5" w:hRule="atLeast"/>
        </w:trPr>
        <w:tc>
          <w:tcPr>
            <w:tcW w:w="8834" w:type="dxa"/>
            <w:gridSpan w:val="7"/>
            <w:tcBorders>
              <w:top w:val="single" w:color="auto" w:sz="6" w:space="0"/>
              <w:left w:val="double" w:color="auto" w:sz="4" w:space="0"/>
              <w:bottom w:val="single" w:color="auto" w:sz="6" w:space="0"/>
              <w:right w:val="double" w:color="auto" w:sz="4" w:space="0"/>
            </w:tcBorders>
            <w:vAlign w:val="center"/>
          </w:tcPr>
          <w:p w14:paraId="41A42643">
            <w:pPr>
              <w:keepNext w:val="0"/>
              <w:keepLines w:val="0"/>
              <w:suppressLineNumbers w:val="0"/>
              <w:spacing w:before="0" w:beforeAutospacing="0" w:after="0" w:afterAutospacing="0" w:line="360" w:lineRule="atLeast"/>
              <w:ind w:left="0" w:right="0"/>
              <w:rPr>
                <w:rFonts w:hint="eastAsia" w:ascii="宋体" w:hAnsi="宋体" w:eastAsia="宋体" w:cs="宋体"/>
                <w:color w:val="auto"/>
                <w:highlight w:val="none"/>
              </w:rPr>
            </w:pPr>
            <w:r>
              <w:rPr>
                <w:rFonts w:hint="eastAsia" w:ascii="宋体" w:hAnsi="宋体" w:eastAsia="宋体" w:cs="宋体"/>
                <w:color w:val="auto"/>
                <w:highlight w:val="none"/>
              </w:rPr>
              <w:t>近三年承担项目情况</w:t>
            </w:r>
          </w:p>
        </w:tc>
      </w:tr>
      <w:tr w14:paraId="7188EB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309" w:type="dxa"/>
            <w:tcBorders>
              <w:top w:val="single" w:color="auto" w:sz="6" w:space="0"/>
              <w:left w:val="double" w:color="auto" w:sz="4" w:space="0"/>
              <w:bottom w:val="single" w:color="auto" w:sz="6" w:space="0"/>
              <w:right w:val="single" w:color="auto" w:sz="6" w:space="0"/>
            </w:tcBorders>
            <w:vAlign w:val="center"/>
          </w:tcPr>
          <w:p w14:paraId="5651A76E">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3777" w:type="dxa"/>
            <w:gridSpan w:val="3"/>
            <w:tcBorders>
              <w:top w:val="single" w:color="auto" w:sz="6" w:space="0"/>
              <w:left w:val="single" w:color="auto" w:sz="6" w:space="0"/>
              <w:bottom w:val="single" w:color="auto" w:sz="6" w:space="0"/>
              <w:right w:val="single" w:color="auto" w:sz="6" w:space="0"/>
            </w:tcBorders>
            <w:vAlign w:val="center"/>
          </w:tcPr>
          <w:p w14:paraId="05399F2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类似项目名称</w:t>
            </w:r>
          </w:p>
        </w:tc>
        <w:tc>
          <w:tcPr>
            <w:tcW w:w="1458" w:type="dxa"/>
            <w:tcBorders>
              <w:top w:val="single" w:color="auto" w:sz="6" w:space="0"/>
              <w:left w:val="single" w:color="auto" w:sz="6" w:space="0"/>
              <w:bottom w:val="single" w:color="auto" w:sz="6" w:space="0"/>
              <w:right w:val="single" w:color="auto" w:sz="6" w:space="0"/>
            </w:tcBorders>
            <w:vAlign w:val="center"/>
          </w:tcPr>
          <w:p w14:paraId="2BEBA42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2290" w:type="dxa"/>
            <w:gridSpan w:val="2"/>
            <w:tcBorders>
              <w:top w:val="single" w:color="auto" w:sz="6" w:space="0"/>
              <w:left w:val="single" w:color="auto" w:sz="6" w:space="0"/>
              <w:bottom w:val="single" w:color="auto" w:sz="6" w:space="0"/>
              <w:right w:val="double" w:color="auto" w:sz="4" w:space="0"/>
            </w:tcBorders>
            <w:vAlign w:val="center"/>
          </w:tcPr>
          <w:p w14:paraId="7532A5D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项目单位名称及电话</w:t>
            </w:r>
          </w:p>
        </w:tc>
      </w:tr>
      <w:tr w14:paraId="6F305D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309" w:type="dxa"/>
            <w:tcBorders>
              <w:top w:val="single" w:color="auto" w:sz="6" w:space="0"/>
              <w:left w:val="double" w:color="auto" w:sz="4" w:space="0"/>
              <w:bottom w:val="single" w:color="auto" w:sz="6" w:space="0"/>
              <w:right w:val="single" w:color="auto" w:sz="6" w:space="0"/>
            </w:tcBorders>
            <w:vAlign w:val="center"/>
          </w:tcPr>
          <w:p w14:paraId="2930F95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3777" w:type="dxa"/>
            <w:gridSpan w:val="3"/>
            <w:tcBorders>
              <w:top w:val="single" w:color="auto" w:sz="6" w:space="0"/>
              <w:left w:val="single" w:color="auto" w:sz="6" w:space="0"/>
              <w:bottom w:val="single" w:color="auto" w:sz="6" w:space="0"/>
              <w:right w:val="single" w:color="auto" w:sz="6" w:space="0"/>
            </w:tcBorders>
            <w:vAlign w:val="center"/>
          </w:tcPr>
          <w:p w14:paraId="497B1EF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1458" w:type="dxa"/>
            <w:tcBorders>
              <w:top w:val="single" w:color="auto" w:sz="6" w:space="0"/>
              <w:left w:val="single" w:color="auto" w:sz="6" w:space="0"/>
              <w:bottom w:val="single" w:color="auto" w:sz="6" w:space="0"/>
              <w:right w:val="single" w:color="auto" w:sz="6" w:space="0"/>
            </w:tcBorders>
            <w:vAlign w:val="center"/>
          </w:tcPr>
          <w:p w14:paraId="499C88A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2290" w:type="dxa"/>
            <w:gridSpan w:val="2"/>
            <w:tcBorders>
              <w:top w:val="single" w:color="auto" w:sz="6" w:space="0"/>
              <w:left w:val="single" w:color="auto" w:sz="6" w:space="0"/>
              <w:bottom w:val="single" w:color="auto" w:sz="6" w:space="0"/>
              <w:right w:val="double" w:color="auto" w:sz="4" w:space="0"/>
            </w:tcBorders>
            <w:vAlign w:val="center"/>
          </w:tcPr>
          <w:p w14:paraId="2A5A239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r>
      <w:tr w14:paraId="2A1FEB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309" w:type="dxa"/>
            <w:tcBorders>
              <w:top w:val="single" w:color="auto" w:sz="6" w:space="0"/>
              <w:left w:val="double" w:color="auto" w:sz="4" w:space="0"/>
              <w:bottom w:val="single" w:color="auto" w:sz="6" w:space="0"/>
              <w:right w:val="single" w:color="auto" w:sz="6" w:space="0"/>
            </w:tcBorders>
            <w:vAlign w:val="center"/>
          </w:tcPr>
          <w:p w14:paraId="45F7F5C5">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3777" w:type="dxa"/>
            <w:gridSpan w:val="3"/>
            <w:tcBorders>
              <w:top w:val="single" w:color="auto" w:sz="6" w:space="0"/>
              <w:left w:val="single" w:color="auto" w:sz="6" w:space="0"/>
              <w:bottom w:val="single" w:color="auto" w:sz="6" w:space="0"/>
              <w:right w:val="single" w:color="auto" w:sz="6" w:space="0"/>
            </w:tcBorders>
            <w:vAlign w:val="center"/>
          </w:tcPr>
          <w:p w14:paraId="46EA72D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1458" w:type="dxa"/>
            <w:tcBorders>
              <w:top w:val="single" w:color="auto" w:sz="6" w:space="0"/>
              <w:left w:val="single" w:color="auto" w:sz="6" w:space="0"/>
              <w:bottom w:val="single" w:color="auto" w:sz="6" w:space="0"/>
              <w:right w:val="single" w:color="auto" w:sz="6" w:space="0"/>
            </w:tcBorders>
            <w:vAlign w:val="center"/>
          </w:tcPr>
          <w:p w14:paraId="67C70D8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2290" w:type="dxa"/>
            <w:gridSpan w:val="2"/>
            <w:tcBorders>
              <w:top w:val="single" w:color="auto" w:sz="6" w:space="0"/>
              <w:left w:val="single" w:color="auto" w:sz="6" w:space="0"/>
              <w:bottom w:val="single" w:color="auto" w:sz="6" w:space="0"/>
              <w:right w:val="double" w:color="auto" w:sz="4" w:space="0"/>
            </w:tcBorders>
            <w:vAlign w:val="center"/>
          </w:tcPr>
          <w:p w14:paraId="3A3D82D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r>
      <w:tr w14:paraId="5E562C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309" w:type="dxa"/>
            <w:tcBorders>
              <w:top w:val="single" w:color="auto" w:sz="6" w:space="0"/>
              <w:left w:val="double" w:color="auto" w:sz="4" w:space="0"/>
              <w:bottom w:val="single" w:color="auto" w:sz="6" w:space="0"/>
              <w:right w:val="single" w:color="auto" w:sz="6" w:space="0"/>
            </w:tcBorders>
            <w:vAlign w:val="center"/>
          </w:tcPr>
          <w:p w14:paraId="4EF272CE">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3777" w:type="dxa"/>
            <w:gridSpan w:val="3"/>
            <w:tcBorders>
              <w:top w:val="single" w:color="auto" w:sz="6" w:space="0"/>
              <w:left w:val="single" w:color="auto" w:sz="6" w:space="0"/>
              <w:bottom w:val="single" w:color="auto" w:sz="6" w:space="0"/>
              <w:right w:val="single" w:color="auto" w:sz="6" w:space="0"/>
            </w:tcBorders>
            <w:vAlign w:val="center"/>
          </w:tcPr>
          <w:p w14:paraId="5E3A221E">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1458" w:type="dxa"/>
            <w:tcBorders>
              <w:top w:val="single" w:color="auto" w:sz="6" w:space="0"/>
              <w:left w:val="single" w:color="auto" w:sz="6" w:space="0"/>
              <w:bottom w:val="single" w:color="auto" w:sz="6" w:space="0"/>
              <w:right w:val="single" w:color="auto" w:sz="6" w:space="0"/>
            </w:tcBorders>
            <w:vAlign w:val="center"/>
          </w:tcPr>
          <w:p w14:paraId="0877D3F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2290" w:type="dxa"/>
            <w:gridSpan w:val="2"/>
            <w:tcBorders>
              <w:top w:val="single" w:color="auto" w:sz="6" w:space="0"/>
              <w:left w:val="single" w:color="auto" w:sz="6" w:space="0"/>
              <w:bottom w:val="single" w:color="auto" w:sz="6" w:space="0"/>
              <w:right w:val="double" w:color="auto" w:sz="4" w:space="0"/>
            </w:tcBorders>
            <w:vAlign w:val="center"/>
          </w:tcPr>
          <w:p w14:paraId="0320D43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r>
      <w:tr w14:paraId="0FB0FA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309" w:type="dxa"/>
            <w:tcBorders>
              <w:top w:val="single" w:color="auto" w:sz="6" w:space="0"/>
              <w:left w:val="double" w:color="auto" w:sz="4" w:space="0"/>
              <w:bottom w:val="single" w:color="auto" w:sz="6" w:space="0"/>
              <w:right w:val="single" w:color="auto" w:sz="6" w:space="0"/>
            </w:tcBorders>
            <w:vAlign w:val="center"/>
          </w:tcPr>
          <w:p w14:paraId="1A2097EE">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3777" w:type="dxa"/>
            <w:gridSpan w:val="3"/>
            <w:tcBorders>
              <w:top w:val="single" w:color="auto" w:sz="6" w:space="0"/>
              <w:left w:val="single" w:color="auto" w:sz="6" w:space="0"/>
              <w:bottom w:val="single" w:color="auto" w:sz="6" w:space="0"/>
              <w:right w:val="single" w:color="auto" w:sz="6" w:space="0"/>
            </w:tcBorders>
            <w:vAlign w:val="center"/>
          </w:tcPr>
          <w:p w14:paraId="23081D4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1458" w:type="dxa"/>
            <w:tcBorders>
              <w:top w:val="single" w:color="auto" w:sz="6" w:space="0"/>
              <w:left w:val="single" w:color="auto" w:sz="6" w:space="0"/>
              <w:bottom w:val="single" w:color="auto" w:sz="6" w:space="0"/>
              <w:right w:val="single" w:color="auto" w:sz="6" w:space="0"/>
            </w:tcBorders>
            <w:vAlign w:val="center"/>
          </w:tcPr>
          <w:p w14:paraId="69B5E33E">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2290" w:type="dxa"/>
            <w:gridSpan w:val="2"/>
            <w:tcBorders>
              <w:top w:val="single" w:color="auto" w:sz="6" w:space="0"/>
              <w:left w:val="single" w:color="auto" w:sz="6" w:space="0"/>
              <w:bottom w:val="single" w:color="auto" w:sz="6" w:space="0"/>
              <w:right w:val="double" w:color="auto" w:sz="4" w:space="0"/>
            </w:tcBorders>
            <w:vAlign w:val="center"/>
          </w:tcPr>
          <w:p w14:paraId="754EBD5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r>
      <w:tr w14:paraId="63467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309" w:type="dxa"/>
            <w:tcBorders>
              <w:top w:val="single" w:color="auto" w:sz="6" w:space="0"/>
              <w:left w:val="double" w:color="auto" w:sz="4" w:space="0"/>
              <w:bottom w:val="single" w:color="auto" w:sz="6" w:space="0"/>
              <w:right w:val="single" w:color="auto" w:sz="6" w:space="0"/>
            </w:tcBorders>
            <w:vAlign w:val="center"/>
          </w:tcPr>
          <w:p w14:paraId="548A145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3777" w:type="dxa"/>
            <w:gridSpan w:val="3"/>
            <w:tcBorders>
              <w:top w:val="single" w:color="auto" w:sz="6" w:space="0"/>
              <w:left w:val="single" w:color="auto" w:sz="6" w:space="0"/>
              <w:bottom w:val="single" w:color="auto" w:sz="6" w:space="0"/>
              <w:right w:val="single" w:color="auto" w:sz="6" w:space="0"/>
            </w:tcBorders>
            <w:vAlign w:val="center"/>
          </w:tcPr>
          <w:p w14:paraId="24B23A84">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1458" w:type="dxa"/>
            <w:tcBorders>
              <w:top w:val="single" w:color="auto" w:sz="6" w:space="0"/>
              <w:left w:val="single" w:color="auto" w:sz="6" w:space="0"/>
              <w:bottom w:val="single" w:color="auto" w:sz="6" w:space="0"/>
              <w:right w:val="single" w:color="auto" w:sz="6" w:space="0"/>
            </w:tcBorders>
            <w:vAlign w:val="center"/>
          </w:tcPr>
          <w:p w14:paraId="202C2FC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2290" w:type="dxa"/>
            <w:gridSpan w:val="2"/>
            <w:tcBorders>
              <w:top w:val="single" w:color="auto" w:sz="6" w:space="0"/>
              <w:left w:val="single" w:color="auto" w:sz="6" w:space="0"/>
              <w:bottom w:val="single" w:color="auto" w:sz="6" w:space="0"/>
              <w:right w:val="double" w:color="auto" w:sz="4" w:space="0"/>
            </w:tcBorders>
            <w:vAlign w:val="center"/>
          </w:tcPr>
          <w:p w14:paraId="343E2ECE">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r>
      <w:tr w14:paraId="13F82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309" w:type="dxa"/>
            <w:tcBorders>
              <w:top w:val="single" w:color="auto" w:sz="6" w:space="0"/>
              <w:left w:val="double" w:color="auto" w:sz="4" w:space="0"/>
              <w:bottom w:val="single" w:color="auto" w:sz="6" w:space="0"/>
              <w:right w:val="single" w:color="auto" w:sz="6" w:space="0"/>
            </w:tcBorders>
            <w:vAlign w:val="center"/>
          </w:tcPr>
          <w:p w14:paraId="0974A522">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3777" w:type="dxa"/>
            <w:gridSpan w:val="3"/>
            <w:tcBorders>
              <w:top w:val="single" w:color="auto" w:sz="6" w:space="0"/>
              <w:left w:val="single" w:color="auto" w:sz="6" w:space="0"/>
              <w:bottom w:val="single" w:color="auto" w:sz="6" w:space="0"/>
              <w:right w:val="single" w:color="auto" w:sz="6" w:space="0"/>
            </w:tcBorders>
            <w:vAlign w:val="center"/>
          </w:tcPr>
          <w:p w14:paraId="3E5792B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1458" w:type="dxa"/>
            <w:tcBorders>
              <w:top w:val="single" w:color="auto" w:sz="6" w:space="0"/>
              <w:left w:val="single" w:color="auto" w:sz="6" w:space="0"/>
              <w:bottom w:val="single" w:color="auto" w:sz="6" w:space="0"/>
              <w:right w:val="single" w:color="auto" w:sz="6" w:space="0"/>
            </w:tcBorders>
            <w:vAlign w:val="center"/>
          </w:tcPr>
          <w:p w14:paraId="3B149CE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2290" w:type="dxa"/>
            <w:gridSpan w:val="2"/>
            <w:tcBorders>
              <w:top w:val="single" w:color="auto" w:sz="6" w:space="0"/>
              <w:left w:val="single" w:color="auto" w:sz="6" w:space="0"/>
              <w:bottom w:val="single" w:color="auto" w:sz="6" w:space="0"/>
              <w:right w:val="double" w:color="auto" w:sz="4" w:space="0"/>
            </w:tcBorders>
            <w:vAlign w:val="center"/>
          </w:tcPr>
          <w:p w14:paraId="7B8B32B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r>
      <w:tr w14:paraId="68BE41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309" w:type="dxa"/>
            <w:tcBorders>
              <w:top w:val="single" w:color="auto" w:sz="6" w:space="0"/>
              <w:left w:val="double" w:color="auto" w:sz="4" w:space="0"/>
              <w:bottom w:val="single" w:color="auto" w:sz="6" w:space="0"/>
              <w:right w:val="single" w:color="auto" w:sz="6" w:space="0"/>
            </w:tcBorders>
            <w:vAlign w:val="center"/>
          </w:tcPr>
          <w:p w14:paraId="4115CA64">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3777" w:type="dxa"/>
            <w:gridSpan w:val="3"/>
            <w:tcBorders>
              <w:top w:val="single" w:color="auto" w:sz="6" w:space="0"/>
              <w:left w:val="single" w:color="auto" w:sz="6" w:space="0"/>
              <w:bottom w:val="single" w:color="auto" w:sz="6" w:space="0"/>
              <w:right w:val="single" w:color="auto" w:sz="6" w:space="0"/>
            </w:tcBorders>
            <w:vAlign w:val="center"/>
          </w:tcPr>
          <w:p w14:paraId="6BF1BC8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1458" w:type="dxa"/>
            <w:tcBorders>
              <w:top w:val="single" w:color="auto" w:sz="6" w:space="0"/>
              <w:left w:val="single" w:color="auto" w:sz="6" w:space="0"/>
              <w:bottom w:val="single" w:color="auto" w:sz="6" w:space="0"/>
              <w:right w:val="single" w:color="auto" w:sz="6" w:space="0"/>
            </w:tcBorders>
            <w:vAlign w:val="center"/>
          </w:tcPr>
          <w:p w14:paraId="6D336D0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2290" w:type="dxa"/>
            <w:gridSpan w:val="2"/>
            <w:tcBorders>
              <w:top w:val="single" w:color="auto" w:sz="6" w:space="0"/>
              <w:left w:val="single" w:color="auto" w:sz="6" w:space="0"/>
              <w:bottom w:val="single" w:color="auto" w:sz="6" w:space="0"/>
              <w:right w:val="double" w:color="auto" w:sz="4" w:space="0"/>
            </w:tcBorders>
            <w:vAlign w:val="center"/>
          </w:tcPr>
          <w:p w14:paraId="114DAC6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r>
      <w:tr w14:paraId="34CF4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309" w:type="dxa"/>
            <w:tcBorders>
              <w:top w:val="single" w:color="auto" w:sz="6" w:space="0"/>
              <w:left w:val="double" w:color="auto" w:sz="4" w:space="0"/>
              <w:bottom w:val="single" w:color="auto" w:sz="6" w:space="0"/>
              <w:right w:val="single" w:color="auto" w:sz="6" w:space="0"/>
            </w:tcBorders>
            <w:vAlign w:val="center"/>
          </w:tcPr>
          <w:p w14:paraId="0F7D546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3777" w:type="dxa"/>
            <w:gridSpan w:val="3"/>
            <w:tcBorders>
              <w:top w:val="single" w:color="auto" w:sz="6" w:space="0"/>
              <w:left w:val="single" w:color="auto" w:sz="6" w:space="0"/>
              <w:bottom w:val="single" w:color="auto" w:sz="6" w:space="0"/>
              <w:right w:val="single" w:color="auto" w:sz="6" w:space="0"/>
            </w:tcBorders>
            <w:vAlign w:val="center"/>
          </w:tcPr>
          <w:p w14:paraId="50DAC612">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1458" w:type="dxa"/>
            <w:tcBorders>
              <w:top w:val="single" w:color="auto" w:sz="6" w:space="0"/>
              <w:left w:val="single" w:color="auto" w:sz="6" w:space="0"/>
              <w:bottom w:val="single" w:color="auto" w:sz="6" w:space="0"/>
              <w:right w:val="single" w:color="auto" w:sz="6" w:space="0"/>
            </w:tcBorders>
            <w:vAlign w:val="center"/>
          </w:tcPr>
          <w:p w14:paraId="2F4ADF52">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2290" w:type="dxa"/>
            <w:gridSpan w:val="2"/>
            <w:tcBorders>
              <w:top w:val="single" w:color="auto" w:sz="6" w:space="0"/>
              <w:left w:val="single" w:color="auto" w:sz="6" w:space="0"/>
              <w:bottom w:val="single" w:color="auto" w:sz="6" w:space="0"/>
              <w:right w:val="double" w:color="auto" w:sz="4" w:space="0"/>
            </w:tcBorders>
            <w:vAlign w:val="center"/>
          </w:tcPr>
          <w:p w14:paraId="0A8C59E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r>
      <w:tr w14:paraId="692CB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309" w:type="dxa"/>
            <w:tcBorders>
              <w:top w:val="single" w:color="auto" w:sz="6" w:space="0"/>
              <w:left w:val="double" w:color="auto" w:sz="4" w:space="0"/>
              <w:bottom w:val="double" w:color="auto" w:sz="4" w:space="0"/>
              <w:right w:val="single" w:color="auto" w:sz="6" w:space="0"/>
            </w:tcBorders>
            <w:vAlign w:val="center"/>
          </w:tcPr>
          <w:p w14:paraId="6CA5E6F4">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3777" w:type="dxa"/>
            <w:gridSpan w:val="3"/>
            <w:tcBorders>
              <w:top w:val="single" w:color="auto" w:sz="6" w:space="0"/>
              <w:left w:val="single" w:color="auto" w:sz="6" w:space="0"/>
              <w:bottom w:val="double" w:color="auto" w:sz="4" w:space="0"/>
              <w:right w:val="single" w:color="auto" w:sz="6" w:space="0"/>
            </w:tcBorders>
            <w:vAlign w:val="center"/>
          </w:tcPr>
          <w:p w14:paraId="4BA8E8E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1458" w:type="dxa"/>
            <w:tcBorders>
              <w:top w:val="single" w:color="auto" w:sz="6" w:space="0"/>
              <w:left w:val="single" w:color="auto" w:sz="6" w:space="0"/>
              <w:bottom w:val="double" w:color="auto" w:sz="4" w:space="0"/>
              <w:right w:val="single" w:color="auto" w:sz="6" w:space="0"/>
            </w:tcBorders>
            <w:vAlign w:val="center"/>
          </w:tcPr>
          <w:p w14:paraId="417B9865">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c>
          <w:tcPr>
            <w:tcW w:w="2290" w:type="dxa"/>
            <w:gridSpan w:val="2"/>
            <w:tcBorders>
              <w:top w:val="single" w:color="auto" w:sz="6" w:space="0"/>
              <w:left w:val="single" w:color="auto" w:sz="6" w:space="0"/>
              <w:bottom w:val="double" w:color="auto" w:sz="4" w:space="0"/>
              <w:right w:val="double" w:color="auto" w:sz="4" w:space="0"/>
            </w:tcBorders>
            <w:vAlign w:val="center"/>
          </w:tcPr>
          <w:p w14:paraId="36EA157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highlight w:val="none"/>
              </w:rPr>
            </w:pPr>
          </w:p>
        </w:tc>
      </w:tr>
    </w:tbl>
    <w:p w14:paraId="0F0E1376">
      <w:pPr>
        <w:adjustRightInd w:val="0"/>
        <w:snapToGrid w:val="0"/>
        <w:spacing w:line="360" w:lineRule="auto"/>
        <w:rPr>
          <w:rFonts w:hint="eastAsia" w:ascii="宋体" w:hAnsi="宋体" w:eastAsia="宋体" w:cs="宋体"/>
          <w:color w:val="auto"/>
          <w:szCs w:val="21"/>
          <w:highlight w:val="none"/>
        </w:rPr>
      </w:pPr>
    </w:p>
    <w:p w14:paraId="42D0B224">
      <w:pPr>
        <w:rPr>
          <w:rFonts w:hint="eastAsia" w:ascii="宋体" w:hAnsi="宋体" w:eastAsia="宋体" w:cs="宋体"/>
          <w:color w:val="auto"/>
          <w:szCs w:val="21"/>
          <w:highlight w:val="none"/>
        </w:rPr>
      </w:pPr>
    </w:p>
    <w:p w14:paraId="3DE6EF27">
      <w:pPr>
        <w:pStyle w:val="24"/>
        <w:adjustRightInd w:val="0"/>
        <w:snapToGrid w:val="0"/>
        <w:spacing w:line="360" w:lineRule="auto"/>
        <w:rPr>
          <w:rFonts w:hint="eastAsia" w:ascii="宋体" w:hAnsi="宋体" w:eastAsia="宋体" w:cs="宋体"/>
          <w:bCs/>
          <w:color w:val="auto"/>
          <w:sz w:val="21"/>
          <w:szCs w:val="21"/>
          <w:highlight w:val="none"/>
        </w:rPr>
      </w:pPr>
      <w:bookmarkStart w:id="60" w:name="_Toc20914"/>
      <w:r>
        <w:rPr>
          <w:rFonts w:hint="eastAsia" w:ascii="宋体" w:hAnsi="宋体" w:eastAsia="宋体" w:cs="宋体"/>
          <w:color w:val="auto"/>
          <w:sz w:val="21"/>
          <w:szCs w:val="21"/>
          <w:highlight w:val="none"/>
        </w:rPr>
        <w:t>供应商名称：</w:t>
      </w:r>
      <w:bookmarkEnd w:id="60"/>
      <w:r>
        <w:rPr>
          <w:rFonts w:hint="eastAsia" w:ascii="宋体" w:hAnsi="宋体" w:eastAsia="宋体" w:cs="宋体"/>
          <w:color w:val="auto"/>
          <w:sz w:val="21"/>
          <w:szCs w:val="21"/>
          <w:highlight w:val="none"/>
          <w:u w:val="single"/>
        </w:rPr>
        <w:t xml:space="preserve">                </w:t>
      </w:r>
    </w:p>
    <w:p w14:paraId="405ACB12">
      <w:pPr>
        <w:adjustRightInd w:val="0"/>
        <w:snapToGrid w:val="0"/>
        <w:spacing w:line="360" w:lineRule="auto"/>
        <w:rPr>
          <w:rFonts w:hint="eastAsia" w:ascii="宋体" w:hAnsi="宋体" w:eastAsia="宋体" w:cs="宋体"/>
          <w:color w:val="auto"/>
          <w:szCs w:val="21"/>
          <w:highlight w:val="none"/>
        </w:rPr>
      </w:pPr>
      <w:bookmarkStart w:id="61" w:name="_Toc20260"/>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_</w:t>
      </w:r>
      <w:bookmarkEnd w:id="61"/>
    </w:p>
    <w:p w14:paraId="02FD5C00">
      <w:pPr>
        <w:spacing w:line="36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日期：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14:paraId="54A2788E">
      <w:pPr>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62" w:name="_Toc6878"/>
      <w:bookmarkStart w:id="63" w:name="_Toc5406_WPSOffice_Level2"/>
      <w:r>
        <w:rPr>
          <w:rFonts w:hint="eastAsia" w:ascii="宋体" w:hAnsi="宋体" w:eastAsia="宋体" w:cs="宋体"/>
          <w:b/>
          <w:color w:val="auto"/>
          <w:sz w:val="30"/>
          <w:szCs w:val="30"/>
          <w:highlight w:val="none"/>
        </w:rPr>
        <w:t>五、技术/商务响应与偏离表</w:t>
      </w:r>
      <w:bookmarkEnd w:id="62"/>
      <w:bookmarkEnd w:id="63"/>
    </w:p>
    <w:p w14:paraId="2C952279">
      <w:pPr>
        <w:adjustRightInd w:val="0"/>
        <w:snapToGrid w:val="0"/>
        <w:ind w:left="-88" w:leftChars="-42" w:firstLine="315" w:firstLineChars="150"/>
        <w:rPr>
          <w:rFonts w:hint="eastAsia" w:ascii="宋体" w:hAnsi="宋体" w:eastAsia="宋体" w:cs="宋体"/>
          <w:color w:val="auto"/>
          <w:szCs w:val="21"/>
          <w:highlight w:val="none"/>
          <w:u w:val="single"/>
        </w:rPr>
      </w:pPr>
    </w:p>
    <w:tbl>
      <w:tblPr>
        <w:tblStyle w:val="44"/>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14:paraId="39670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tcBorders>
              <w:top w:val="double" w:color="auto" w:sz="4" w:space="0"/>
              <w:left w:val="double" w:color="auto" w:sz="4" w:space="0"/>
              <w:bottom w:val="single" w:color="auto" w:sz="6" w:space="0"/>
              <w:right w:val="single" w:color="auto" w:sz="6" w:space="0"/>
            </w:tcBorders>
            <w:vAlign w:val="center"/>
          </w:tcPr>
          <w:p w14:paraId="46E09502">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685" w:type="dxa"/>
            <w:tcBorders>
              <w:top w:val="double" w:color="auto" w:sz="4" w:space="0"/>
              <w:left w:val="single" w:color="auto" w:sz="6" w:space="0"/>
              <w:bottom w:val="single" w:color="auto" w:sz="6" w:space="0"/>
              <w:right w:val="single" w:color="auto" w:sz="6" w:space="0"/>
            </w:tcBorders>
            <w:vAlign w:val="center"/>
          </w:tcPr>
          <w:p w14:paraId="77995420">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磋商文件条目号</w:t>
            </w:r>
          </w:p>
        </w:tc>
        <w:tc>
          <w:tcPr>
            <w:tcW w:w="1948" w:type="dxa"/>
            <w:tcBorders>
              <w:top w:val="double" w:color="auto" w:sz="4" w:space="0"/>
              <w:left w:val="single" w:color="auto" w:sz="6" w:space="0"/>
              <w:bottom w:val="single" w:color="auto" w:sz="6" w:space="0"/>
              <w:right w:val="single" w:color="auto" w:sz="6" w:space="0"/>
            </w:tcBorders>
            <w:vAlign w:val="center"/>
          </w:tcPr>
          <w:p w14:paraId="3B627477">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采购规格/商务条款</w:t>
            </w:r>
          </w:p>
        </w:tc>
        <w:tc>
          <w:tcPr>
            <w:tcW w:w="2600" w:type="dxa"/>
            <w:tcBorders>
              <w:top w:val="double" w:color="auto" w:sz="4" w:space="0"/>
              <w:left w:val="single" w:color="auto" w:sz="6" w:space="0"/>
              <w:bottom w:val="single" w:color="auto" w:sz="6" w:space="0"/>
              <w:right w:val="single" w:color="auto" w:sz="6" w:space="0"/>
            </w:tcBorders>
            <w:vAlign w:val="center"/>
          </w:tcPr>
          <w:p w14:paraId="7A0F9A13">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响应文件的规格/商务条款</w:t>
            </w:r>
          </w:p>
        </w:tc>
        <w:tc>
          <w:tcPr>
            <w:tcW w:w="1214" w:type="dxa"/>
            <w:tcBorders>
              <w:top w:val="double" w:color="auto" w:sz="4" w:space="0"/>
              <w:left w:val="single" w:color="auto" w:sz="6" w:space="0"/>
              <w:bottom w:val="single" w:color="auto" w:sz="6" w:space="0"/>
              <w:right w:val="single" w:color="auto" w:sz="6" w:space="0"/>
            </w:tcBorders>
            <w:vAlign w:val="center"/>
          </w:tcPr>
          <w:p w14:paraId="66726740">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响应与偏离</w:t>
            </w:r>
          </w:p>
        </w:tc>
        <w:tc>
          <w:tcPr>
            <w:tcW w:w="661" w:type="dxa"/>
            <w:tcBorders>
              <w:top w:val="double" w:color="auto" w:sz="4" w:space="0"/>
              <w:left w:val="single" w:color="auto" w:sz="6" w:space="0"/>
              <w:bottom w:val="single" w:color="auto" w:sz="6" w:space="0"/>
              <w:right w:val="double" w:color="auto" w:sz="4" w:space="0"/>
            </w:tcBorders>
            <w:vAlign w:val="center"/>
          </w:tcPr>
          <w:p w14:paraId="3B990A78">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59022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4" w:space="0"/>
              <w:bottom w:val="single" w:color="auto" w:sz="6" w:space="0"/>
              <w:right w:val="single" w:color="auto" w:sz="6" w:space="0"/>
            </w:tcBorders>
          </w:tcPr>
          <w:p w14:paraId="61F91855">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685" w:type="dxa"/>
            <w:tcBorders>
              <w:top w:val="single" w:color="auto" w:sz="6" w:space="0"/>
              <w:left w:val="single" w:color="auto" w:sz="6" w:space="0"/>
              <w:bottom w:val="single" w:color="auto" w:sz="6" w:space="0"/>
              <w:right w:val="single" w:color="auto" w:sz="6" w:space="0"/>
            </w:tcBorders>
            <w:vAlign w:val="center"/>
          </w:tcPr>
          <w:p w14:paraId="792FAA2D">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948" w:type="dxa"/>
            <w:tcBorders>
              <w:top w:val="single" w:color="auto" w:sz="6" w:space="0"/>
              <w:left w:val="single" w:color="auto" w:sz="6" w:space="0"/>
              <w:bottom w:val="single" w:color="auto" w:sz="6" w:space="0"/>
              <w:right w:val="single" w:color="auto" w:sz="6" w:space="0"/>
            </w:tcBorders>
            <w:vAlign w:val="center"/>
          </w:tcPr>
          <w:p w14:paraId="57705F71">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2600" w:type="dxa"/>
            <w:tcBorders>
              <w:top w:val="single" w:color="auto" w:sz="6" w:space="0"/>
              <w:left w:val="single" w:color="auto" w:sz="6" w:space="0"/>
              <w:bottom w:val="single" w:color="auto" w:sz="6" w:space="0"/>
              <w:right w:val="single" w:color="auto" w:sz="6" w:space="0"/>
            </w:tcBorders>
            <w:vAlign w:val="center"/>
          </w:tcPr>
          <w:p w14:paraId="411A730C">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214" w:type="dxa"/>
            <w:tcBorders>
              <w:top w:val="single" w:color="auto" w:sz="6" w:space="0"/>
              <w:left w:val="single" w:color="auto" w:sz="6" w:space="0"/>
              <w:bottom w:val="single" w:color="auto" w:sz="6" w:space="0"/>
              <w:right w:val="single" w:color="auto" w:sz="6" w:space="0"/>
            </w:tcBorders>
            <w:vAlign w:val="center"/>
          </w:tcPr>
          <w:p w14:paraId="079B9969">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661" w:type="dxa"/>
            <w:tcBorders>
              <w:top w:val="single" w:color="auto" w:sz="6" w:space="0"/>
              <w:left w:val="single" w:color="auto" w:sz="6" w:space="0"/>
              <w:bottom w:val="single" w:color="auto" w:sz="6" w:space="0"/>
              <w:right w:val="double" w:color="auto" w:sz="4" w:space="0"/>
            </w:tcBorders>
            <w:vAlign w:val="center"/>
          </w:tcPr>
          <w:p w14:paraId="7E7E92E9">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r>
      <w:tr w14:paraId="24BAB5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4" w:space="0"/>
              <w:bottom w:val="single" w:color="auto" w:sz="6" w:space="0"/>
              <w:right w:val="single" w:color="auto" w:sz="6" w:space="0"/>
            </w:tcBorders>
          </w:tcPr>
          <w:p w14:paraId="419F4483">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685" w:type="dxa"/>
            <w:tcBorders>
              <w:top w:val="single" w:color="auto" w:sz="6" w:space="0"/>
              <w:left w:val="single" w:color="auto" w:sz="6" w:space="0"/>
              <w:bottom w:val="single" w:color="auto" w:sz="6" w:space="0"/>
              <w:right w:val="single" w:color="auto" w:sz="6" w:space="0"/>
            </w:tcBorders>
            <w:vAlign w:val="center"/>
          </w:tcPr>
          <w:p w14:paraId="1410E68C">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948" w:type="dxa"/>
            <w:tcBorders>
              <w:top w:val="single" w:color="auto" w:sz="6" w:space="0"/>
              <w:left w:val="single" w:color="auto" w:sz="6" w:space="0"/>
              <w:bottom w:val="single" w:color="auto" w:sz="6" w:space="0"/>
              <w:right w:val="single" w:color="auto" w:sz="6" w:space="0"/>
            </w:tcBorders>
            <w:vAlign w:val="center"/>
          </w:tcPr>
          <w:p w14:paraId="69DD027C">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2600" w:type="dxa"/>
            <w:tcBorders>
              <w:top w:val="single" w:color="auto" w:sz="6" w:space="0"/>
              <w:left w:val="single" w:color="auto" w:sz="6" w:space="0"/>
              <w:bottom w:val="single" w:color="auto" w:sz="6" w:space="0"/>
              <w:right w:val="single" w:color="auto" w:sz="6" w:space="0"/>
            </w:tcBorders>
            <w:vAlign w:val="center"/>
          </w:tcPr>
          <w:p w14:paraId="0B86DAAB">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214" w:type="dxa"/>
            <w:tcBorders>
              <w:top w:val="single" w:color="auto" w:sz="6" w:space="0"/>
              <w:left w:val="single" w:color="auto" w:sz="6" w:space="0"/>
              <w:bottom w:val="single" w:color="auto" w:sz="6" w:space="0"/>
              <w:right w:val="single" w:color="auto" w:sz="6" w:space="0"/>
            </w:tcBorders>
            <w:vAlign w:val="center"/>
          </w:tcPr>
          <w:p w14:paraId="0181DC12">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661" w:type="dxa"/>
            <w:tcBorders>
              <w:top w:val="single" w:color="auto" w:sz="6" w:space="0"/>
              <w:left w:val="single" w:color="auto" w:sz="6" w:space="0"/>
              <w:bottom w:val="single" w:color="auto" w:sz="6" w:space="0"/>
              <w:right w:val="double" w:color="auto" w:sz="4" w:space="0"/>
            </w:tcBorders>
            <w:vAlign w:val="center"/>
          </w:tcPr>
          <w:p w14:paraId="79C57AD7">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r>
      <w:tr w14:paraId="0DF26A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4" w:space="0"/>
              <w:bottom w:val="single" w:color="auto" w:sz="6" w:space="0"/>
              <w:right w:val="single" w:color="auto" w:sz="6" w:space="0"/>
            </w:tcBorders>
          </w:tcPr>
          <w:p w14:paraId="050B1A35">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685" w:type="dxa"/>
            <w:tcBorders>
              <w:top w:val="single" w:color="auto" w:sz="6" w:space="0"/>
              <w:left w:val="single" w:color="auto" w:sz="6" w:space="0"/>
              <w:bottom w:val="single" w:color="auto" w:sz="6" w:space="0"/>
              <w:right w:val="single" w:color="auto" w:sz="6" w:space="0"/>
            </w:tcBorders>
            <w:vAlign w:val="center"/>
          </w:tcPr>
          <w:p w14:paraId="6F02E5AB">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948" w:type="dxa"/>
            <w:tcBorders>
              <w:top w:val="single" w:color="auto" w:sz="6" w:space="0"/>
              <w:left w:val="single" w:color="auto" w:sz="6" w:space="0"/>
              <w:bottom w:val="single" w:color="auto" w:sz="6" w:space="0"/>
              <w:right w:val="single" w:color="auto" w:sz="6" w:space="0"/>
            </w:tcBorders>
            <w:vAlign w:val="center"/>
          </w:tcPr>
          <w:p w14:paraId="5AA5FC4A">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2600" w:type="dxa"/>
            <w:tcBorders>
              <w:top w:val="single" w:color="auto" w:sz="6" w:space="0"/>
              <w:left w:val="single" w:color="auto" w:sz="6" w:space="0"/>
              <w:bottom w:val="single" w:color="auto" w:sz="6" w:space="0"/>
              <w:right w:val="single" w:color="auto" w:sz="6" w:space="0"/>
            </w:tcBorders>
            <w:vAlign w:val="center"/>
          </w:tcPr>
          <w:p w14:paraId="757957B3">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214" w:type="dxa"/>
            <w:tcBorders>
              <w:top w:val="single" w:color="auto" w:sz="6" w:space="0"/>
              <w:left w:val="single" w:color="auto" w:sz="6" w:space="0"/>
              <w:bottom w:val="single" w:color="auto" w:sz="6" w:space="0"/>
              <w:right w:val="single" w:color="auto" w:sz="6" w:space="0"/>
            </w:tcBorders>
            <w:vAlign w:val="center"/>
          </w:tcPr>
          <w:p w14:paraId="28BB6C0D">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661" w:type="dxa"/>
            <w:tcBorders>
              <w:top w:val="single" w:color="auto" w:sz="6" w:space="0"/>
              <w:left w:val="single" w:color="auto" w:sz="6" w:space="0"/>
              <w:bottom w:val="single" w:color="auto" w:sz="6" w:space="0"/>
              <w:right w:val="double" w:color="auto" w:sz="4" w:space="0"/>
            </w:tcBorders>
            <w:vAlign w:val="center"/>
          </w:tcPr>
          <w:p w14:paraId="35AA80E7">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r>
      <w:tr w14:paraId="559B56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4" w:space="0"/>
              <w:bottom w:val="single" w:color="auto" w:sz="6" w:space="0"/>
              <w:right w:val="single" w:color="auto" w:sz="6" w:space="0"/>
            </w:tcBorders>
          </w:tcPr>
          <w:p w14:paraId="225CE819">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685" w:type="dxa"/>
            <w:tcBorders>
              <w:top w:val="single" w:color="auto" w:sz="6" w:space="0"/>
              <w:left w:val="single" w:color="auto" w:sz="6" w:space="0"/>
              <w:bottom w:val="single" w:color="auto" w:sz="6" w:space="0"/>
              <w:right w:val="single" w:color="auto" w:sz="6" w:space="0"/>
            </w:tcBorders>
            <w:vAlign w:val="center"/>
          </w:tcPr>
          <w:p w14:paraId="01C5AFF7">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948" w:type="dxa"/>
            <w:tcBorders>
              <w:top w:val="single" w:color="auto" w:sz="6" w:space="0"/>
              <w:left w:val="single" w:color="auto" w:sz="6" w:space="0"/>
              <w:bottom w:val="single" w:color="auto" w:sz="6" w:space="0"/>
              <w:right w:val="single" w:color="auto" w:sz="6" w:space="0"/>
            </w:tcBorders>
            <w:vAlign w:val="center"/>
          </w:tcPr>
          <w:p w14:paraId="3DB3D702">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2600" w:type="dxa"/>
            <w:tcBorders>
              <w:top w:val="single" w:color="auto" w:sz="6" w:space="0"/>
              <w:left w:val="single" w:color="auto" w:sz="6" w:space="0"/>
              <w:bottom w:val="single" w:color="auto" w:sz="6" w:space="0"/>
              <w:right w:val="single" w:color="auto" w:sz="6" w:space="0"/>
            </w:tcBorders>
            <w:vAlign w:val="center"/>
          </w:tcPr>
          <w:p w14:paraId="57CE3B16">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214" w:type="dxa"/>
            <w:tcBorders>
              <w:top w:val="single" w:color="auto" w:sz="6" w:space="0"/>
              <w:left w:val="single" w:color="auto" w:sz="6" w:space="0"/>
              <w:bottom w:val="single" w:color="auto" w:sz="6" w:space="0"/>
              <w:right w:val="single" w:color="auto" w:sz="6" w:space="0"/>
            </w:tcBorders>
            <w:vAlign w:val="center"/>
          </w:tcPr>
          <w:p w14:paraId="723E2D96">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661" w:type="dxa"/>
            <w:tcBorders>
              <w:top w:val="single" w:color="auto" w:sz="6" w:space="0"/>
              <w:left w:val="single" w:color="auto" w:sz="6" w:space="0"/>
              <w:bottom w:val="single" w:color="auto" w:sz="6" w:space="0"/>
              <w:right w:val="double" w:color="auto" w:sz="4" w:space="0"/>
            </w:tcBorders>
            <w:vAlign w:val="center"/>
          </w:tcPr>
          <w:p w14:paraId="0C8FBA5E">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r>
      <w:tr w14:paraId="6552C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4" w:space="0"/>
              <w:bottom w:val="double" w:color="auto" w:sz="4" w:space="0"/>
              <w:right w:val="single" w:color="auto" w:sz="6" w:space="0"/>
            </w:tcBorders>
          </w:tcPr>
          <w:p w14:paraId="07419E5F">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685" w:type="dxa"/>
            <w:tcBorders>
              <w:top w:val="single" w:color="auto" w:sz="6" w:space="0"/>
              <w:left w:val="single" w:color="auto" w:sz="6" w:space="0"/>
              <w:bottom w:val="double" w:color="auto" w:sz="4" w:space="0"/>
              <w:right w:val="single" w:color="auto" w:sz="6" w:space="0"/>
            </w:tcBorders>
            <w:vAlign w:val="center"/>
          </w:tcPr>
          <w:p w14:paraId="5C7C08B0">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948" w:type="dxa"/>
            <w:tcBorders>
              <w:top w:val="single" w:color="auto" w:sz="6" w:space="0"/>
              <w:left w:val="single" w:color="auto" w:sz="6" w:space="0"/>
              <w:bottom w:val="double" w:color="auto" w:sz="4" w:space="0"/>
              <w:right w:val="single" w:color="auto" w:sz="6" w:space="0"/>
            </w:tcBorders>
            <w:vAlign w:val="center"/>
          </w:tcPr>
          <w:p w14:paraId="7BC8CF2F">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2600" w:type="dxa"/>
            <w:tcBorders>
              <w:top w:val="single" w:color="auto" w:sz="6" w:space="0"/>
              <w:left w:val="single" w:color="auto" w:sz="6" w:space="0"/>
              <w:bottom w:val="double" w:color="auto" w:sz="4" w:space="0"/>
              <w:right w:val="single" w:color="auto" w:sz="6" w:space="0"/>
            </w:tcBorders>
            <w:vAlign w:val="center"/>
          </w:tcPr>
          <w:p w14:paraId="603AD828">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1214" w:type="dxa"/>
            <w:tcBorders>
              <w:top w:val="single" w:color="auto" w:sz="6" w:space="0"/>
              <w:left w:val="single" w:color="auto" w:sz="6" w:space="0"/>
              <w:bottom w:val="double" w:color="auto" w:sz="4" w:space="0"/>
              <w:right w:val="single" w:color="auto" w:sz="6" w:space="0"/>
            </w:tcBorders>
            <w:vAlign w:val="center"/>
          </w:tcPr>
          <w:p w14:paraId="79968DA8">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c>
          <w:tcPr>
            <w:tcW w:w="661" w:type="dxa"/>
            <w:tcBorders>
              <w:top w:val="single" w:color="auto" w:sz="6" w:space="0"/>
              <w:left w:val="single" w:color="auto" w:sz="6" w:space="0"/>
              <w:bottom w:val="double" w:color="auto" w:sz="4" w:space="0"/>
              <w:right w:val="double" w:color="auto" w:sz="4" w:space="0"/>
            </w:tcBorders>
            <w:vAlign w:val="center"/>
          </w:tcPr>
          <w:p w14:paraId="3B1645AF">
            <w:pPr>
              <w:keepNext w:val="0"/>
              <w:keepLines w:val="0"/>
              <w:suppressLineNumbers w:val="0"/>
              <w:adjustRightInd w:val="0"/>
              <w:snapToGrid w:val="0"/>
              <w:spacing w:before="0" w:beforeAutospacing="0" w:after="0" w:afterAutospacing="0"/>
              <w:ind w:left="-88" w:leftChars="-42" w:right="0"/>
              <w:jc w:val="center"/>
              <w:rPr>
                <w:rFonts w:hint="eastAsia" w:ascii="宋体" w:hAnsi="宋体" w:eastAsia="宋体" w:cs="宋体"/>
                <w:color w:val="auto"/>
                <w:szCs w:val="21"/>
                <w:highlight w:val="none"/>
              </w:rPr>
            </w:pPr>
          </w:p>
        </w:tc>
      </w:tr>
    </w:tbl>
    <w:p w14:paraId="4FD792B7">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w:t>
      </w:r>
      <w:r>
        <w:rPr>
          <w:rFonts w:hint="eastAsia" w:ascii="宋体" w:hAnsi="宋体" w:eastAsia="宋体" w:cs="宋体"/>
          <w:b/>
          <w:bCs/>
          <w:color w:val="auto"/>
          <w:szCs w:val="21"/>
          <w:highlight w:val="none"/>
        </w:rPr>
        <w:t>“响应与偏离”应注明“响应”或“偏离”。</w:t>
      </w:r>
    </w:p>
    <w:p w14:paraId="61A658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2、属磋商文件规定可能变动的内容在“说明”栏中注明。</w:t>
      </w:r>
    </w:p>
    <w:p w14:paraId="792FE650">
      <w:pPr>
        <w:pStyle w:val="24"/>
        <w:adjustRightInd w:val="0"/>
        <w:snapToGrid w:val="0"/>
        <w:spacing w:line="360" w:lineRule="auto"/>
        <w:rPr>
          <w:rFonts w:hint="eastAsia" w:ascii="宋体" w:hAnsi="宋体" w:eastAsia="宋体" w:cs="宋体"/>
          <w:color w:val="auto"/>
          <w:sz w:val="21"/>
          <w:szCs w:val="21"/>
          <w:highlight w:val="none"/>
        </w:rPr>
      </w:pPr>
    </w:p>
    <w:p w14:paraId="7F1F8D14">
      <w:pPr>
        <w:rPr>
          <w:rFonts w:hint="eastAsia" w:ascii="宋体" w:hAnsi="宋体" w:eastAsia="宋体" w:cs="宋体"/>
          <w:color w:val="auto"/>
          <w:highlight w:val="none"/>
        </w:rPr>
      </w:pPr>
    </w:p>
    <w:p w14:paraId="643C7EA5">
      <w:pPr>
        <w:rPr>
          <w:rFonts w:hint="eastAsia" w:ascii="宋体" w:hAnsi="宋体" w:eastAsia="宋体" w:cs="宋体"/>
          <w:color w:val="auto"/>
          <w:highlight w:val="none"/>
        </w:rPr>
      </w:pPr>
    </w:p>
    <w:p w14:paraId="221B5653">
      <w:pPr>
        <w:rPr>
          <w:rFonts w:hint="eastAsia" w:ascii="宋体" w:hAnsi="宋体" w:eastAsia="宋体" w:cs="宋体"/>
          <w:color w:val="auto"/>
          <w:highlight w:val="none"/>
        </w:rPr>
      </w:pPr>
    </w:p>
    <w:p w14:paraId="358D5663">
      <w:pPr>
        <w:rPr>
          <w:rFonts w:hint="eastAsia" w:ascii="宋体" w:hAnsi="宋体" w:eastAsia="宋体" w:cs="宋体"/>
          <w:color w:val="auto"/>
          <w:highlight w:val="none"/>
        </w:rPr>
      </w:pPr>
    </w:p>
    <w:p w14:paraId="2AB1567B">
      <w:pPr>
        <w:rPr>
          <w:rFonts w:hint="eastAsia" w:ascii="宋体" w:hAnsi="宋体" w:eastAsia="宋体" w:cs="宋体"/>
          <w:color w:val="auto"/>
          <w:highlight w:val="none"/>
        </w:rPr>
      </w:pPr>
    </w:p>
    <w:p w14:paraId="5B13AF33">
      <w:pPr>
        <w:rPr>
          <w:rFonts w:hint="eastAsia" w:ascii="宋体" w:hAnsi="宋体" w:eastAsia="宋体" w:cs="宋体"/>
          <w:color w:val="auto"/>
          <w:highlight w:val="none"/>
        </w:rPr>
      </w:pPr>
    </w:p>
    <w:p w14:paraId="756FBB9B">
      <w:pPr>
        <w:pStyle w:val="24"/>
        <w:adjustRightInd w:val="0"/>
        <w:snapToGrid w:val="0"/>
        <w:spacing w:line="360" w:lineRule="auto"/>
        <w:rPr>
          <w:rFonts w:hint="eastAsia" w:ascii="宋体" w:hAnsi="宋体" w:eastAsia="宋体" w:cs="宋体"/>
          <w:bCs/>
          <w:color w:val="auto"/>
          <w:sz w:val="21"/>
          <w:szCs w:val="21"/>
          <w:highlight w:val="none"/>
        </w:rPr>
      </w:pPr>
      <w:bookmarkStart w:id="64" w:name="_Toc15852"/>
      <w:r>
        <w:rPr>
          <w:rFonts w:hint="eastAsia" w:ascii="宋体" w:hAnsi="宋体" w:eastAsia="宋体" w:cs="宋体"/>
          <w:color w:val="auto"/>
          <w:sz w:val="21"/>
          <w:szCs w:val="21"/>
          <w:highlight w:val="none"/>
        </w:rPr>
        <w:t>供应商名称：</w:t>
      </w:r>
      <w:bookmarkEnd w:id="64"/>
      <w:r>
        <w:rPr>
          <w:rFonts w:hint="eastAsia" w:ascii="宋体" w:hAnsi="宋体" w:eastAsia="宋体" w:cs="宋体"/>
          <w:color w:val="auto"/>
          <w:sz w:val="21"/>
          <w:szCs w:val="21"/>
          <w:highlight w:val="none"/>
          <w:u w:val="single"/>
        </w:rPr>
        <w:t xml:space="preserve">                   </w:t>
      </w:r>
    </w:p>
    <w:p w14:paraId="08DBB55B">
      <w:pPr>
        <w:adjustRightInd w:val="0"/>
        <w:snapToGrid w:val="0"/>
        <w:spacing w:line="360" w:lineRule="auto"/>
        <w:rPr>
          <w:rFonts w:hint="eastAsia" w:ascii="宋体" w:hAnsi="宋体" w:eastAsia="宋体" w:cs="宋体"/>
          <w:color w:val="auto"/>
          <w:szCs w:val="21"/>
          <w:highlight w:val="none"/>
        </w:rPr>
      </w:pPr>
      <w:bookmarkStart w:id="65" w:name="_Toc2755"/>
      <w:r>
        <w:rPr>
          <w:rFonts w:hint="eastAsia" w:ascii="宋体" w:hAnsi="宋体" w:eastAsia="宋体" w:cs="宋体"/>
          <w:color w:val="auto"/>
          <w:szCs w:val="21"/>
          <w:highlight w:val="none"/>
        </w:rPr>
        <w:t>法定代表人或其委托代理人(签字)：</w:t>
      </w:r>
      <w:bookmarkEnd w:id="65"/>
      <w:r>
        <w:rPr>
          <w:rFonts w:hint="eastAsia" w:ascii="宋体" w:hAnsi="宋体" w:eastAsia="宋体" w:cs="宋体"/>
          <w:color w:val="auto"/>
          <w:szCs w:val="21"/>
          <w:highlight w:val="none"/>
          <w:u w:val="single"/>
        </w:rPr>
        <w:t xml:space="preserve">                   </w:t>
      </w:r>
    </w:p>
    <w:p w14:paraId="2FAE8FAE">
      <w:pPr>
        <w:adjustRightInd w:val="0"/>
        <w:snapToGrid w:val="0"/>
        <w:spacing w:line="360" w:lineRule="auto"/>
        <w:rPr>
          <w:rFonts w:hint="eastAsia" w:ascii="宋体" w:hAnsi="宋体" w:eastAsia="宋体" w:cs="宋体"/>
          <w:color w:val="auto"/>
          <w:szCs w:val="21"/>
          <w:highlight w:val="none"/>
        </w:rPr>
      </w:pPr>
      <w:bookmarkStart w:id="66" w:name="_Toc26666"/>
      <w:r>
        <w:rPr>
          <w:rFonts w:hint="eastAsia" w:ascii="宋体" w:hAnsi="宋体" w:eastAsia="宋体" w:cs="宋体"/>
          <w:color w:val="auto"/>
          <w:szCs w:val="21"/>
          <w:highlight w:val="none"/>
        </w:rPr>
        <w:t xml:space="preserve">日          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bookmarkEnd w:id="66"/>
    </w:p>
    <w:p w14:paraId="4639F78C">
      <w:pPr>
        <w:adjustRightInd w:val="0"/>
        <w:snapToGrid w:val="0"/>
        <w:spacing w:line="360" w:lineRule="auto"/>
        <w:rPr>
          <w:rFonts w:hint="eastAsia" w:ascii="宋体" w:hAnsi="宋体" w:eastAsia="宋体" w:cs="宋体"/>
          <w:color w:val="auto"/>
          <w:szCs w:val="21"/>
          <w:highlight w:val="none"/>
        </w:rPr>
      </w:pPr>
    </w:p>
    <w:p w14:paraId="3E47FEF8">
      <w:pPr>
        <w:rPr>
          <w:rFonts w:hint="eastAsia" w:ascii="宋体" w:hAnsi="宋体" w:eastAsia="宋体" w:cs="宋体"/>
          <w:color w:val="auto"/>
          <w:highlight w:val="none"/>
        </w:rPr>
      </w:pPr>
      <w:r>
        <w:rPr>
          <w:rFonts w:hint="eastAsia" w:ascii="宋体" w:hAnsi="宋体" w:eastAsia="宋体" w:cs="宋体"/>
          <w:b/>
          <w:color w:val="auto"/>
          <w:sz w:val="30"/>
          <w:szCs w:val="30"/>
          <w:highlight w:val="none"/>
        </w:rPr>
        <w:br w:type="page"/>
      </w:r>
      <w:bookmarkStart w:id="67" w:name="_Toc9155_WPSOffice_Level2"/>
      <w:bookmarkEnd w:id="67"/>
      <w:bookmarkStart w:id="68" w:name="_Toc10405_WPSOffice_Level2"/>
    </w:p>
    <w:bookmarkEnd w:id="68"/>
    <w:p w14:paraId="75617C7C">
      <w:pPr>
        <w:tabs>
          <w:tab w:val="left" w:pos="3600"/>
        </w:tabs>
        <w:adjustRightInd w:val="0"/>
        <w:snapToGrid w:val="0"/>
        <w:jc w:val="center"/>
        <w:rPr>
          <w:rFonts w:hint="eastAsia" w:ascii="宋体" w:hAnsi="宋体" w:eastAsia="宋体" w:cs="宋体"/>
          <w:b/>
          <w:color w:val="auto"/>
          <w:sz w:val="32"/>
          <w:szCs w:val="32"/>
          <w:highlight w:val="none"/>
        </w:rPr>
      </w:pPr>
      <w:bookmarkStart w:id="69" w:name="_Toc3244_WPSOffice_Level2"/>
      <w:r>
        <w:rPr>
          <w:rFonts w:hint="eastAsia" w:ascii="宋体" w:hAnsi="宋体" w:eastAsia="宋体" w:cs="宋体"/>
          <w:b/>
          <w:bCs/>
          <w:color w:val="auto"/>
          <w:sz w:val="32"/>
          <w:szCs w:val="32"/>
          <w:highlight w:val="none"/>
        </w:rPr>
        <w:t>六、</w:t>
      </w:r>
      <w:r>
        <w:rPr>
          <w:rFonts w:hint="eastAsia" w:ascii="宋体" w:hAnsi="宋体" w:eastAsia="宋体" w:cs="宋体"/>
          <w:b/>
          <w:color w:val="auto"/>
          <w:sz w:val="32"/>
          <w:szCs w:val="32"/>
          <w:highlight w:val="none"/>
        </w:rPr>
        <w:t>报价一览表</w:t>
      </w:r>
      <w:bookmarkEnd w:id="69"/>
    </w:p>
    <w:p w14:paraId="1CF68C87">
      <w:pPr>
        <w:adjustRightInd w:val="0"/>
        <w:snapToGrid w:val="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附件</w:t>
      </w:r>
      <w:r>
        <w:rPr>
          <w:rFonts w:hint="eastAsia" w:ascii="宋体" w:hAnsi="宋体" w:cs="宋体"/>
          <w:color w:val="auto"/>
          <w:sz w:val="30"/>
          <w:szCs w:val="30"/>
          <w:highlight w:val="none"/>
          <w:lang w:val="en-US" w:eastAsia="zh-CN"/>
        </w:rPr>
        <w:t>7</w:t>
      </w:r>
      <w:r>
        <w:rPr>
          <w:rFonts w:hint="eastAsia" w:ascii="宋体" w:hAnsi="宋体" w:eastAsia="宋体" w:cs="宋体"/>
          <w:color w:val="auto"/>
          <w:sz w:val="30"/>
          <w:szCs w:val="30"/>
          <w:highlight w:val="none"/>
          <w:lang w:val="en-US" w:eastAsia="zh-CN"/>
        </w:rPr>
        <w:t>-1</w:t>
      </w:r>
    </w:p>
    <w:p w14:paraId="28557923">
      <w:pPr>
        <w:adjustRightInd w:val="0"/>
        <w:snapToGrid w:val="0"/>
        <w:jc w:val="center"/>
        <w:rPr>
          <w:rFonts w:hint="eastAsia" w:ascii="宋体" w:hAnsi="宋体" w:eastAsia="宋体" w:cs="宋体"/>
          <w:color w:val="auto"/>
          <w:sz w:val="30"/>
          <w:szCs w:val="30"/>
          <w:highlight w:val="none"/>
        </w:rPr>
      </w:pPr>
      <w:bookmarkStart w:id="70" w:name="_Toc24841_WPSOffice_Level1"/>
      <w:r>
        <w:rPr>
          <w:rFonts w:hint="eastAsia" w:ascii="宋体" w:hAnsi="宋体" w:eastAsia="宋体" w:cs="宋体"/>
          <w:bCs/>
          <w:color w:val="auto"/>
          <w:sz w:val="30"/>
          <w:szCs w:val="30"/>
          <w:highlight w:val="none"/>
        </w:rPr>
        <w:t>报价一览表</w:t>
      </w:r>
      <w:bookmarkEnd w:id="70"/>
    </w:p>
    <w:p w14:paraId="0ED2208F">
      <w:pPr>
        <w:adjustRightInd w:val="0"/>
        <w:snapToGrid w:val="0"/>
        <w:rPr>
          <w:rFonts w:hint="eastAsia" w:ascii="宋体" w:hAnsi="宋体" w:eastAsia="宋体" w:cs="宋体"/>
          <w:color w:val="auto"/>
          <w:sz w:val="24"/>
          <w:highlight w:val="none"/>
        </w:rPr>
      </w:pPr>
    </w:p>
    <w:tbl>
      <w:tblPr>
        <w:tblStyle w:val="44"/>
        <w:tblW w:w="888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3134"/>
        <w:gridCol w:w="1783"/>
        <w:gridCol w:w="1785"/>
      </w:tblGrid>
      <w:tr w14:paraId="076A9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78" w:type="dxa"/>
            <w:tcBorders>
              <w:top w:val="double" w:color="auto" w:sz="4" w:space="0"/>
              <w:left w:val="double" w:color="auto" w:sz="4" w:space="0"/>
              <w:bottom w:val="single" w:color="auto" w:sz="6" w:space="0"/>
              <w:right w:val="single" w:color="auto" w:sz="6" w:space="0"/>
            </w:tcBorders>
            <w:vAlign w:val="center"/>
          </w:tcPr>
          <w:p w14:paraId="4D26898C">
            <w:pPr>
              <w:keepNext w:val="0"/>
              <w:keepLines w:val="0"/>
              <w:suppressLineNumbers w:val="0"/>
              <w:tabs>
                <w:tab w:val="left" w:pos="403"/>
                <w:tab w:val="center" w:pos="3781"/>
              </w:tabs>
              <w:spacing w:before="0" w:beforeAutospacing="0" w:after="0" w:afterAutospacing="0" w:line="420" w:lineRule="exact"/>
              <w:ind w:left="0" w:right="-5206" w:rightChars="-2479"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b/>
                <w:bCs/>
                <w:color w:val="auto"/>
                <w:szCs w:val="21"/>
                <w:highlight w:val="none"/>
              </w:rPr>
              <w:tab/>
            </w:r>
            <w:r>
              <w:rPr>
                <w:rFonts w:hint="eastAsia" w:ascii="宋体" w:hAnsi="宋体" w:eastAsia="宋体" w:cs="宋体"/>
                <w:b/>
                <w:bCs/>
                <w:color w:val="auto"/>
                <w:szCs w:val="21"/>
                <w:highlight w:val="none"/>
              </w:rPr>
              <w:t>项目名称</w:t>
            </w:r>
          </w:p>
        </w:tc>
        <w:tc>
          <w:tcPr>
            <w:tcW w:w="3134" w:type="dxa"/>
            <w:tcBorders>
              <w:top w:val="double" w:color="auto" w:sz="4" w:space="0"/>
              <w:left w:val="single" w:color="auto" w:sz="6" w:space="0"/>
              <w:bottom w:val="single" w:color="auto" w:sz="6" w:space="0"/>
              <w:right w:val="single" w:color="auto" w:sz="6" w:space="0"/>
            </w:tcBorders>
            <w:vAlign w:val="center"/>
          </w:tcPr>
          <w:p w14:paraId="4A023204">
            <w:pPr>
              <w:keepNext w:val="0"/>
              <w:keepLines w:val="0"/>
              <w:suppressLineNumbers w:val="0"/>
              <w:spacing w:before="0" w:beforeAutospacing="0" w:after="0" w:afterAutospacing="0" w:line="420" w:lineRule="exact"/>
              <w:ind w:left="0" w:right="0"/>
              <w:jc w:val="center"/>
              <w:rPr>
                <w:rFonts w:hint="eastAsia" w:ascii="宋体" w:hAnsi="宋体" w:eastAsia="宋体" w:cs="宋体"/>
                <w:b/>
                <w:bCs/>
                <w:color w:val="auto"/>
                <w:szCs w:val="21"/>
                <w:highlight w:val="none"/>
              </w:rPr>
            </w:pPr>
          </w:p>
        </w:tc>
        <w:tc>
          <w:tcPr>
            <w:tcW w:w="1783" w:type="dxa"/>
            <w:tcBorders>
              <w:top w:val="double" w:color="auto" w:sz="4" w:space="0"/>
              <w:left w:val="single" w:color="auto" w:sz="6" w:space="0"/>
              <w:bottom w:val="single" w:color="auto" w:sz="4" w:space="0"/>
              <w:right w:val="single" w:color="auto" w:sz="6" w:space="0"/>
            </w:tcBorders>
            <w:vAlign w:val="center"/>
          </w:tcPr>
          <w:p w14:paraId="2EBC1F1B">
            <w:pPr>
              <w:keepNext w:val="0"/>
              <w:keepLines w:val="0"/>
              <w:suppressLineNumbers w:val="0"/>
              <w:spacing w:before="0" w:beforeAutospacing="0" w:after="0" w:afterAutospacing="0" w:line="42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w:t>
            </w:r>
            <w:r>
              <w:rPr>
                <w:rFonts w:hint="eastAsia" w:ascii="宋体" w:hAnsi="宋体" w:eastAsia="宋体" w:cs="宋体"/>
                <w:b/>
                <w:bCs/>
                <w:color w:val="auto"/>
                <w:szCs w:val="21"/>
                <w:highlight w:val="none"/>
                <w:lang w:val="en-US" w:eastAsia="zh-CN"/>
              </w:rPr>
              <w:t>项目</w:t>
            </w:r>
            <w:r>
              <w:rPr>
                <w:rFonts w:hint="eastAsia" w:ascii="宋体" w:hAnsi="宋体" w:eastAsia="宋体" w:cs="宋体"/>
                <w:b/>
                <w:bCs/>
                <w:color w:val="auto"/>
                <w:szCs w:val="21"/>
                <w:highlight w:val="none"/>
              </w:rPr>
              <w:t>编号</w:t>
            </w:r>
          </w:p>
        </w:tc>
        <w:tc>
          <w:tcPr>
            <w:tcW w:w="1785" w:type="dxa"/>
            <w:tcBorders>
              <w:top w:val="double" w:color="auto" w:sz="4" w:space="0"/>
              <w:left w:val="single" w:color="auto" w:sz="6" w:space="0"/>
              <w:bottom w:val="single" w:color="auto" w:sz="6" w:space="0"/>
              <w:right w:val="double" w:color="auto" w:sz="4" w:space="0"/>
            </w:tcBorders>
            <w:vAlign w:val="center"/>
          </w:tcPr>
          <w:p w14:paraId="3A86D718">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Cs w:val="21"/>
                <w:highlight w:val="none"/>
              </w:rPr>
            </w:pPr>
          </w:p>
        </w:tc>
      </w:tr>
      <w:tr w14:paraId="26C1F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178" w:type="dxa"/>
            <w:tcBorders>
              <w:top w:val="single" w:color="auto" w:sz="6" w:space="0"/>
              <w:left w:val="double" w:color="auto" w:sz="4" w:space="0"/>
              <w:right w:val="single" w:color="auto" w:sz="6" w:space="0"/>
            </w:tcBorders>
            <w:vAlign w:val="center"/>
          </w:tcPr>
          <w:p w14:paraId="0DD68D94">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报价</w:t>
            </w:r>
          </w:p>
        </w:tc>
        <w:tc>
          <w:tcPr>
            <w:tcW w:w="6702" w:type="dxa"/>
            <w:gridSpan w:val="3"/>
            <w:tcBorders>
              <w:top w:val="single" w:color="auto" w:sz="6" w:space="0"/>
              <w:left w:val="single" w:color="auto" w:sz="6" w:space="0"/>
              <w:bottom w:val="single" w:color="auto" w:sz="4" w:space="0"/>
              <w:right w:val="double" w:color="auto" w:sz="4" w:space="0"/>
            </w:tcBorders>
            <w:vAlign w:val="center"/>
          </w:tcPr>
          <w:p w14:paraId="7F09360D">
            <w:pPr>
              <w:keepNext w:val="0"/>
              <w:keepLines w:val="0"/>
              <w:suppressLineNumbers w:val="0"/>
              <w:spacing w:before="0" w:beforeAutospacing="0" w:after="0" w:afterAutospacing="0" w:line="42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元人民币整</w:t>
            </w:r>
          </w:p>
          <w:p w14:paraId="394A8000">
            <w:pPr>
              <w:keepNext w:val="0"/>
              <w:keepLines w:val="0"/>
              <w:suppressLineNumbers w:val="0"/>
              <w:spacing w:before="0" w:beforeAutospacing="0" w:after="0" w:afterAutospacing="0" w:line="420" w:lineRule="exact"/>
              <w:ind w:left="0" w:right="0"/>
              <w:rPr>
                <w:rFonts w:hint="eastAsia" w:ascii="宋体" w:hAnsi="宋体" w:eastAsia="宋体" w:cs="宋体"/>
                <w:b w:val="0"/>
                <w:bCs w:val="0"/>
                <w:i w:val="0"/>
                <w:iCs w:val="0"/>
                <w:color w:val="auto"/>
                <w:spacing w:val="0"/>
                <w:kern w:val="2"/>
                <w:position w:val="0"/>
                <w:sz w:val="21"/>
                <w:szCs w:val="21"/>
                <w:highlight w:val="none"/>
                <w:lang w:val="en-US" w:eastAsia="zh-CN" w:bidi="ar-SA"/>
              </w:rPr>
            </w:pPr>
            <w:r>
              <w:rPr>
                <w:rFonts w:hint="eastAsia" w:ascii="宋体" w:hAnsi="宋体" w:eastAsia="宋体" w:cs="宋体"/>
                <w:color w:val="auto"/>
                <w:szCs w:val="21"/>
                <w:highlight w:val="none"/>
                <w:lang w:val="en-US" w:eastAsia="zh-CN"/>
              </w:rPr>
              <w:t>小写：                     元人民币整</w:t>
            </w:r>
          </w:p>
        </w:tc>
      </w:tr>
      <w:tr w14:paraId="73811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178" w:type="dxa"/>
            <w:tcBorders>
              <w:top w:val="single" w:color="auto" w:sz="6" w:space="0"/>
              <w:left w:val="double" w:color="auto" w:sz="4" w:space="0"/>
              <w:right w:val="single" w:color="auto" w:sz="6" w:space="0"/>
            </w:tcBorders>
            <w:vAlign w:val="center"/>
          </w:tcPr>
          <w:p w14:paraId="1353E1D1">
            <w:pPr>
              <w:keepNext w:val="0"/>
              <w:keepLines w:val="0"/>
              <w:suppressLineNumbers w:val="0"/>
              <w:spacing w:before="0" w:beforeAutospacing="0" w:after="0" w:afterAutospacing="0" w:line="240" w:lineRule="auto"/>
              <w:ind w:left="0" w:right="0"/>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项目负责人</w:t>
            </w:r>
          </w:p>
        </w:tc>
        <w:tc>
          <w:tcPr>
            <w:tcW w:w="6702" w:type="dxa"/>
            <w:gridSpan w:val="3"/>
            <w:tcBorders>
              <w:top w:val="single" w:color="auto" w:sz="6" w:space="0"/>
              <w:left w:val="single" w:color="auto" w:sz="6" w:space="0"/>
              <w:bottom w:val="single" w:color="auto" w:sz="4" w:space="0"/>
              <w:right w:val="double" w:color="auto" w:sz="4" w:space="0"/>
            </w:tcBorders>
            <w:vAlign w:val="center"/>
          </w:tcPr>
          <w:p w14:paraId="139A5749">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1890" w:firstLineChars="900"/>
              <w:jc w:val="both"/>
              <w:textAlignment w:val="auto"/>
              <w:rPr>
                <w:rFonts w:hint="eastAsia" w:ascii="宋体" w:hAnsi="宋体" w:cs="宋体"/>
                <w:b w:val="0"/>
                <w:bCs w:val="0"/>
                <w:i w:val="0"/>
                <w:iCs w:val="0"/>
                <w:color w:val="auto"/>
                <w:spacing w:val="0"/>
                <w:kern w:val="2"/>
                <w:position w:val="0"/>
                <w:sz w:val="21"/>
                <w:szCs w:val="21"/>
                <w:highlight w:val="none"/>
                <w:lang w:val="en-US" w:eastAsia="zh-CN" w:bidi="ar-SA"/>
              </w:rPr>
            </w:pPr>
          </w:p>
        </w:tc>
      </w:tr>
      <w:tr w14:paraId="49324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178" w:type="dxa"/>
            <w:tcBorders>
              <w:top w:val="single" w:color="auto" w:sz="6" w:space="0"/>
              <w:left w:val="double" w:color="auto" w:sz="4" w:space="0"/>
              <w:right w:val="single" w:color="auto" w:sz="6" w:space="0"/>
            </w:tcBorders>
            <w:vAlign w:val="center"/>
          </w:tcPr>
          <w:p w14:paraId="4F372591">
            <w:pPr>
              <w:keepNext w:val="0"/>
              <w:keepLines w:val="0"/>
              <w:suppressLineNumbers w:val="0"/>
              <w:spacing w:before="0" w:beforeAutospacing="0" w:after="0" w:afterAutospacing="0" w:line="400" w:lineRule="exact"/>
              <w:ind w:left="0" w:right="0"/>
              <w:jc w:val="center"/>
              <w:rPr>
                <w:rFonts w:hint="eastAsia" w:ascii="宋体" w:hAnsi="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维护周期</w:t>
            </w:r>
          </w:p>
        </w:tc>
        <w:tc>
          <w:tcPr>
            <w:tcW w:w="6702" w:type="dxa"/>
            <w:gridSpan w:val="3"/>
            <w:tcBorders>
              <w:top w:val="single" w:color="auto" w:sz="6" w:space="0"/>
              <w:left w:val="single" w:color="auto" w:sz="6" w:space="0"/>
              <w:bottom w:val="single" w:color="auto" w:sz="4" w:space="0"/>
              <w:right w:val="double" w:color="auto" w:sz="4" w:space="0"/>
            </w:tcBorders>
            <w:vAlign w:val="center"/>
          </w:tcPr>
          <w:p w14:paraId="00015C24">
            <w:pPr>
              <w:keepNext w:val="0"/>
              <w:keepLines w:val="0"/>
              <w:suppressLineNumbers w:val="0"/>
              <w:spacing w:before="0" w:beforeAutospacing="0" w:after="0" w:afterAutospacing="0" w:line="400" w:lineRule="exact"/>
              <w:ind w:left="0" w:right="0"/>
              <w:rPr>
                <w:rFonts w:hint="eastAsia" w:ascii="宋体" w:hAnsi="宋体" w:cs="宋体"/>
                <w:b w:val="0"/>
                <w:bCs w:val="0"/>
                <w:i w:val="0"/>
                <w:iCs w:val="0"/>
                <w:color w:val="auto"/>
                <w:spacing w:val="0"/>
                <w:kern w:val="2"/>
                <w:position w:val="0"/>
                <w:sz w:val="21"/>
                <w:szCs w:val="21"/>
                <w:highlight w:val="none"/>
                <w:lang w:val="en-US" w:eastAsia="zh-CN" w:bidi="ar-SA"/>
              </w:rPr>
            </w:pPr>
          </w:p>
        </w:tc>
      </w:tr>
      <w:tr w14:paraId="73EB5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178" w:type="dxa"/>
            <w:tcBorders>
              <w:top w:val="single" w:color="auto" w:sz="6" w:space="0"/>
              <w:left w:val="double" w:color="auto" w:sz="4" w:space="0"/>
              <w:bottom w:val="double" w:color="auto" w:sz="4" w:space="0"/>
              <w:right w:val="single" w:color="auto" w:sz="6" w:space="0"/>
            </w:tcBorders>
            <w:vAlign w:val="center"/>
          </w:tcPr>
          <w:p w14:paraId="074CD613">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备  注</w:t>
            </w:r>
          </w:p>
        </w:tc>
        <w:tc>
          <w:tcPr>
            <w:tcW w:w="6702" w:type="dxa"/>
            <w:gridSpan w:val="3"/>
            <w:tcBorders>
              <w:top w:val="single" w:color="auto" w:sz="6" w:space="0"/>
              <w:left w:val="single" w:color="auto" w:sz="6" w:space="0"/>
              <w:bottom w:val="double" w:color="auto" w:sz="4" w:space="0"/>
              <w:right w:val="double" w:color="auto" w:sz="4" w:space="0"/>
            </w:tcBorders>
            <w:vAlign w:val="center"/>
          </w:tcPr>
          <w:p w14:paraId="158D1760">
            <w:pPr>
              <w:keepNext w:val="0"/>
              <w:keepLines w:val="0"/>
              <w:suppressLineNumbers w:val="0"/>
              <w:spacing w:before="0" w:beforeAutospacing="0" w:after="0" w:afterAutospacing="0" w:line="420" w:lineRule="exact"/>
              <w:ind w:left="0" w:right="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以上报价为含税价</w:t>
            </w:r>
            <w:r>
              <w:rPr>
                <w:rFonts w:hint="eastAsia" w:ascii="宋体" w:hAnsi="宋体" w:cs="宋体"/>
                <w:color w:val="auto"/>
                <w:szCs w:val="21"/>
                <w:highlight w:val="none"/>
                <w:lang w:val="en-US" w:eastAsia="zh-CN"/>
              </w:rPr>
              <w:t>格。</w:t>
            </w:r>
          </w:p>
        </w:tc>
      </w:tr>
    </w:tbl>
    <w:p w14:paraId="5CC980A2">
      <w:pPr>
        <w:keepNext w:val="0"/>
        <w:keepLines w:val="0"/>
        <w:pageBreakBefore w:val="0"/>
        <w:widowControl w:val="0"/>
        <w:kinsoku/>
        <w:wordWrap/>
        <w:overflowPunct/>
        <w:topLinePunct w:val="0"/>
        <w:autoSpaceDE/>
        <w:autoSpaceDN/>
        <w:bidi w:val="0"/>
        <w:adjustRightInd/>
        <w:snapToGrid/>
        <w:spacing w:line="100" w:lineRule="exact"/>
        <w:ind w:right="0" w:rightChars="0"/>
        <w:textAlignment w:val="auto"/>
        <w:rPr>
          <w:rFonts w:hint="eastAsia" w:ascii="宋体" w:hAnsi="宋体" w:eastAsia="宋体" w:cs="宋体"/>
          <w:color w:val="auto"/>
          <w:highlight w:val="none"/>
          <w:lang w:val="en-US" w:eastAsia="zh-CN"/>
        </w:rPr>
      </w:pPr>
    </w:p>
    <w:p w14:paraId="7BEAA379">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注：投标报价包含所需的人工、材料、相应工种所需的常用工具、人员保险、食宿、交通、管理、财务等所有费用，如一旦中标，在项目实施中出现任何遗漏，均由中标人免费提供，采购人不再支付任何费用</w:t>
      </w:r>
      <w:r>
        <w:rPr>
          <w:rFonts w:hint="eastAsia" w:ascii="宋体" w:hAnsi="宋体" w:eastAsia="宋体" w:cs="宋体"/>
          <w:color w:val="auto"/>
          <w:sz w:val="21"/>
          <w:szCs w:val="21"/>
          <w:highlight w:val="none"/>
        </w:rPr>
        <w:t>。</w:t>
      </w:r>
    </w:p>
    <w:p w14:paraId="6B1302D1">
      <w:pPr>
        <w:adjustRightInd w:val="0"/>
        <w:snapToGrid w:val="0"/>
        <w:spacing w:line="360" w:lineRule="auto"/>
        <w:rPr>
          <w:rFonts w:hint="eastAsia" w:ascii="宋体" w:hAnsi="宋体" w:eastAsia="宋体" w:cs="宋体"/>
          <w:color w:val="auto"/>
          <w:szCs w:val="21"/>
          <w:highlight w:val="none"/>
        </w:rPr>
      </w:pPr>
    </w:p>
    <w:p w14:paraId="5146C740">
      <w:pPr>
        <w:adjustRightInd w:val="0"/>
        <w:snapToGrid w:val="0"/>
        <w:spacing w:line="360" w:lineRule="auto"/>
        <w:rPr>
          <w:rFonts w:hint="eastAsia" w:ascii="宋体" w:hAnsi="宋体" w:eastAsia="宋体" w:cs="宋体"/>
          <w:color w:val="auto"/>
          <w:szCs w:val="21"/>
          <w:highlight w:val="none"/>
        </w:rPr>
      </w:pPr>
    </w:p>
    <w:p w14:paraId="23DFA39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供应商（盖单位章）：</w:t>
      </w:r>
    </w:p>
    <w:p w14:paraId="399E86A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szCs w:val="21"/>
          <w:highlight w:val="none"/>
          <w:u w:val="single"/>
        </w:rPr>
        <w:t xml:space="preserve">       </w:t>
      </w:r>
    </w:p>
    <w:p w14:paraId="4BE64AB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C3B1C0C">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2BF057F7">
      <w:pPr>
        <w:spacing w:line="360" w:lineRule="exact"/>
        <w:ind w:right="23" w:rightChars="11"/>
        <w:rPr>
          <w:rFonts w:hint="eastAsia" w:ascii="宋体" w:hAnsi="宋体" w:eastAsia="宋体" w:cs="宋体"/>
          <w:bCs/>
          <w:color w:val="auto"/>
          <w:sz w:val="24"/>
          <w:highlight w:val="none"/>
        </w:rPr>
      </w:pPr>
      <w:bookmarkStart w:id="71" w:name="_Toc15399424"/>
      <w:bookmarkStart w:id="72" w:name="_Toc27452"/>
      <w:bookmarkStart w:id="73" w:name="_Toc24292"/>
      <w:r>
        <w:rPr>
          <w:rFonts w:hint="eastAsia" w:ascii="宋体" w:hAnsi="宋体" w:eastAsia="宋体" w:cs="宋体"/>
          <w:color w:val="auto"/>
          <w:sz w:val="30"/>
          <w:szCs w:val="30"/>
          <w:highlight w:val="none"/>
        </w:rPr>
        <w:t>附件</w:t>
      </w:r>
      <w:r>
        <w:rPr>
          <w:rFonts w:hint="eastAsia" w:ascii="宋体" w:hAnsi="宋体" w:cs="宋体"/>
          <w:color w:val="auto"/>
          <w:sz w:val="30"/>
          <w:szCs w:val="30"/>
          <w:highlight w:val="none"/>
          <w:lang w:val="en-US" w:eastAsia="zh-CN"/>
        </w:rPr>
        <w:t>7</w:t>
      </w:r>
      <w:r>
        <w:rPr>
          <w:rFonts w:hint="eastAsia" w:ascii="宋体" w:hAnsi="宋体" w:eastAsia="宋体" w:cs="宋体"/>
          <w:color w:val="auto"/>
          <w:sz w:val="30"/>
          <w:szCs w:val="30"/>
          <w:highlight w:val="none"/>
        </w:rPr>
        <w:t>-2：分项报价表</w:t>
      </w:r>
    </w:p>
    <w:p w14:paraId="7E0F048F">
      <w:pPr>
        <w:spacing w:line="360" w:lineRule="exact"/>
        <w:ind w:right="23" w:rightChars="11"/>
        <w:rPr>
          <w:rFonts w:hint="eastAsia" w:ascii="宋体" w:hAnsi="宋体" w:eastAsia="宋体" w:cs="宋体"/>
          <w:bCs/>
          <w:color w:val="auto"/>
          <w:sz w:val="24"/>
          <w:highlight w:val="none"/>
        </w:rPr>
      </w:pPr>
    </w:p>
    <w:p w14:paraId="41A4C7A0">
      <w:pPr>
        <w:spacing w:line="36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1、分项报价表说明</w:t>
      </w:r>
    </w:p>
    <w:p w14:paraId="555B6050">
      <w:pPr>
        <w:pStyle w:val="64"/>
        <w:keepNext w:val="0"/>
        <w:keepLines w:val="0"/>
        <w:pageBreakBefore w:val="0"/>
        <w:widowControl w:val="0"/>
        <w:kinsoku/>
        <w:wordWrap/>
        <w:overflowPunct/>
        <w:topLinePunct w:val="0"/>
        <w:autoSpaceDE w:val="0"/>
        <w:autoSpaceDN w:val="0"/>
        <w:bidi w:val="0"/>
        <w:adjustRightInd w:val="0"/>
        <w:snapToGrid/>
        <w:spacing w:after="63" w:afterLines="20" w:line="24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备注：（1）本表应对应“开标一览表”。投标人如果不提供分项报价明细表，其投标无效。</w:t>
      </w:r>
    </w:p>
    <w:p w14:paraId="6201CBCA">
      <w:pPr>
        <w:pStyle w:val="64"/>
        <w:keepNext w:val="0"/>
        <w:keepLines w:val="0"/>
        <w:pageBreakBefore w:val="0"/>
        <w:widowControl w:val="0"/>
        <w:kinsoku/>
        <w:wordWrap/>
        <w:overflowPunct/>
        <w:topLinePunct w:val="0"/>
        <w:autoSpaceDE w:val="0"/>
        <w:autoSpaceDN w:val="0"/>
        <w:bidi w:val="0"/>
        <w:adjustRightInd w:val="0"/>
        <w:snapToGrid/>
        <w:spacing w:after="63" w:afterLines="20" w:line="240" w:lineRule="auto"/>
        <w:ind w:firstLine="632" w:firstLineChars="3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（2）不得填写“免费”或“赠与”，也不得进行“零”报价，否则投标无效。</w:t>
      </w:r>
    </w:p>
    <w:p w14:paraId="3FFA1994">
      <w:pPr>
        <w:pStyle w:val="64"/>
        <w:keepNext w:val="0"/>
        <w:keepLines w:val="0"/>
        <w:pageBreakBefore w:val="0"/>
        <w:widowControl w:val="0"/>
        <w:kinsoku/>
        <w:wordWrap/>
        <w:overflowPunct/>
        <w:topLinePunct w:val="0"/>
        <w:autoSpaceDE w:val="0"/>
        <w:autoSpaceDN w:val="0"/>
        <w:bidi w:val="0"/>
        <w:adjustRightInd w:val="0"/>
        <w:snapToGrid/>
        <w:spacing w:after="63" w:afterLines="20" w:line="240" w:lineRule="auto"/>
        <w:ind w:firstLine="632" w:firstLineChars="3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（3）投标人在提交投标文件的截止时间前修改“开标一览表”中的投标报价的，本表相应内容应同时修改。否则，分项报价按投标报价修改的相同比例进行调整，其风险由投标人自已承担。</w:t>
      </w:r>
    </w:p>
    <w:p w14:paraId="2EF9F707">
      <w:pPr>
        <w:pStyle w:val="64"/>
        <w:keepNext w:val="0"/>
        <w:keepLines w:val="0"/>
        <w:pageBreakBefore w:val="0"/>
        <w:widowControl w:val="0"/>
        <w:kinsoku/>
        <w:wordWrap/>
        <w:overflowPunct/>
        <w:topLinePunct w:val="0"/>
        <w:autoSpaceDE w:val="0"/>
        <w:autoSpaceDN w:val="0"/>
        <w:bidi w:val="0"/>
        <w:adjustRightInd w:val="0"/>
        <w:snapToGrid/>
        <w:spacing w:after="63" w:afterLines="20" w:line="240" w:lineRule="auto"/>
        <w:textAlignment w:val="auto"/>
        <w:rPr>
          <w:rFonts w:hint="eastAsia" w:ascii="宋体" w:hAnsi="宋体" w:eastAsia="宋体" w:cs="宋体"/>
          <w:color w:val="auto"/>
          <w:highlight w:val="none"/>
        </w:rPr>
      </w:pPr>
    </w:p>
    <w:p w14:paraId="262954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rPr>
        <w:t>分项价格表</w:t>
      </w:r>
    </w:p>
    <w:tbl>
      <w:tblPr>
        <w:tblStyle w:val="44"/>
        <w:tblW w:w="9509"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09"/>
        <w:gridCol w:w="2266"/>
        <w:gridCol w:w="5737"/>
        <w:gridCol w:w="797"/>
      </w:tblGrid>
      <w:tr w14:paraId="7B10DEE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8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7AD4613">
            <w:pPr>
              <w:pStyle w:val="310"/>
              <w:keepNext w:val="0"/>
              <w:keepLines w:val="0"/>
              <w:suppressLineNumbers w:val="0"/>
              <w:spacing w:before="0" w:beforeAutospacing="0" w:after="0" w:afterAutospacing="0" w:line="240" w:lineRule="auto"/>
              <w:ind w:left="0" w:right="111"/>
              <w:jc w:val="center"/>
              <w:rPr>
                <w:rFonts w:hint="default" w:hAnsi="Calibri"/>
                <w:b/>
                <w:color w:val="auto"/>
                <w:highlight w:val="none"/>
              </w:rPr>
            </w:pPr>
            <w:r>
              <w:rPr>
                <w:rFonts w:hint="default" w:hAnsi="Calibri"/>
                <w:b/>
                <w:color w:val="auto"/>
                <w:highlight w:val="none"/>
              </w:rPr>
              <w:t>序号</w:t>
            </w:r>
          </w:p>
        </w:tc>
        <w:tc>
          <w:tcPr>
            <w:tcW w:w="2266" w:type="dxa"/>
            <w:tcBorders>
              <w:top w:val="single" w:color="auto" w:sz="4" w:space="0"/>
              <w:left w:val="single" w:color="auto" w:sz="4" w:space="0"/>
              <w:bottom w:val="single" w:color="auto" w:sz="4" w:space="0"/>
              <w:right w:val="single" w:color="auto" w:sz="4" w:space="0"/>
            </w:tcBorders>
            <w:noWrap w:val="0"/>
            <w:vAlign w:val="center"/>
          </w:tcPr>
          <w:p w14:paraId="50FB18C5">
            <w:pPr>
              <w:pStyle w:val="310"/>
              <w:keepNext w:val="0"/>
              <w:keepLines w:val="0"/>
              <w:suppressLineNumbers w:val="0"/>
              <w:spacing w:before="0" w:beforeAutospacing="0" w:after="0" w:afterAutospacing="0" w:line="240" w:lineRule="auto"/>
              <w:ind w:left="0" w:right="679"/>
              <w:jc w:val="center"/>
              <w:rPr>
                <w:rFonts w:hint="default" w:hAnsi="Calibri"/>
                <w:b/>
                <w:color w:val="auto"/>
                <w:highlight w:val="none"/>
              </w:rPr>
            </w:pPr>
            <w:r>
              <w:rPr>
                <w:rFonts w:hint="default" w:hAnsi="Calibri"/>
                <w:b/>
                <w:color w:val="auto"/>
                <w:highlight w:val="none"/>
              </w:rPr>
              <w:t>服务名称</w:t>
            </w:r>
          </w:p>
        </w:tc>
        <w:tc>
          <w:tcPr>
            <w:tcW w:w="5737" w:type="dxa"/>
            <w:tcBorders>
              <w:top w:val="single" w:color="auto" w:sz="4" w:space="0"/>
              <w:left w:val="single" w:color="auto" w:sz="4" w:space="0"/>
              <w:bottom w:val="single" w:color="auto" w:sz="4" w:space="0"/>
              <w:right w:val="single" w:color="auto" w:sz="4" w:space="0"/>
            </w:tcBorders>
            <w:noWrap w:val="0"/>
            <w:vAlign w:val="center"/>
          </w:tcPr>
          <w:p w14:paraId="70A49CA4">
            <w:pPr>
              <w:pStyle w:val="310"/>
              <w:keepNext w:val="0"/>
              <w:keepLines w:val="0"/>
              <w:suppressLineNumbers w:val="0"/>
              <w:spacing w:before="146" w:beforeAutospacing="0" w:after="0" w:afterAutospacing="0" w:line="240" w:lineRule="auto"/>
              <w:ind w:left="2002" w:right="1992"/>
              <w:jc w:val="center"/>
              <w:rPr>
                <w:rFonts w:hint="eastAsia" w:hAnsi="Calibri" w:eastAsia="宋体"/>
                <w:b/>
                <w:color w:val="auto"/>
                <w:highlight w:val="none"/>
                <w:lang w:val="en-US" w:eastAsia="zh-CN"/>
              </w:rPr>
            </w:pPr>
            <w:r>
              <w:rPr>
                <w:rFonts w:hint="eastAsia" w:ascii="宋体" w:hAnsi="Calibri" w:eastAsia="宋体" w:cs="宋体"/>
                <w:b/>
                <w:color w:val="auto"/>
                <w:highlight w:val="none"/>
                <w:lang w:val="en-US" w:eastAsia="zh-CN"/>
              </w:rPr>
              <w:t>报价</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6BAEF237">
            <w:pPr>
              <w:pStyle w:val="310"/>
              <w:keepNext w:val="0"/>
              <w:keepLines w:val="0"/>
              <w:suppressLineNumbers w:val="0"/>
              <w:spacing w:before="0" w:beforeAutospacing="0" w:after="0" w:afterAutospacing="0" w:line="240" w:lineRule="auto"/>
              <w:ind w:left="184" w:right="0"/>
              <w:jc w:val="center"/>
              <w:rPr>
                <w:rFonts w:hint="default" w:hAnsi="Calibri"/>
                <w:b/>
                <w:color w:val="auto"/>
                <w:highlight w:val="none"/>
              </w:rPr>
            </w:pPr>
            <w:r>
              <w:rPr>
                <w:rFonts w:hint="default" w:hAnsi="Calibri"/>
                <w:b/>
                <w:color w:val="auto"/>
                <w:highlight w:val="none"/>
              </w:rPr>
              <w:t>备注</w:t>
            </w:r>
          </w:p>
        </w:tc>
      </w:tr>
      <w:tr w14:paraId="12AF5BD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91"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5B0788A9">
            <w:pPr>
              <w:pStyle w:val="310"/>
              <w:keepNext w:val="0"/>
              <w:keepLines w:val="0"/>
              <w:suppressLineNumbers w:val="0"/>
              <w:spacing w:before="0" w:beforeAutospacing="0" w:after="0" w:afterAutospacing="0"/>
              <w:ind w:left="0" w:right="0"/>
              <w:jc w:val="center"/>
              <w:rPr>
                <w:rFonts w:hint="default" w:ascii="Times New Roman" w:hAnsi="Calibri"/>
                <w:b/>
                <w:color w:val="auto"/>
                <w:highlight w:val="none"/>
              </w:rPr>
            </w:pPr>
            <w:r>
              <w:rPr>
                <w:rFonts w:hint="default" w:ascii="Times New Roman" w:hAnsi="Calibri"/>
                <w:b/>
                <w:color w:val="auto"/>
                <w:w w:val="99"/>
                <w:highlight w:val="none"/>
              </w:rPr>
              <w:t>1</w:t>
            </w:r>
          </w:p>
        </w:tc>
        <w:tc>
          <w:tcPr>
            <w:tcW w:w="2266" w:type="dxa"/>
            <w:tcBorders>
              <w:top w:val="single" w:color="auto" w:sz="4" w:space="0"/>
              <w:left w:val="single" w:color="auto" w:sz="4" w:space="0"/>
              <w:bottom w:val="single" w:color="auto" w:sz="4" w:space="0"/>
              <w:right w:val="single" w:color="auto" w:sz="4" w:space="0"/>
            </w:tcBorders>
            <w:noWrap w:val="0"/>
            <w:vAlign w:val="center"/>
          </w:tcPr>
          <w:p w14:paraId="52046AD5">
            <w:pPr>
              <w:keepNext w:val="0"/>
              <w:keepLines w:val="0"/>
              <w:suppressLineNumbers w:val="0"/>
              <w:spacing w:before="0" w:beforeAutospacing="0" w:after="0" w:afterAutospacing="0" w:line="360" w:lineRule="auto"/>
              <w:ind w:left="0" w:right="0"/>
              <w:rPr>
                <w:rFonts w:hint="default" w:ascii="Calibri" w:hAnsi="Calibri"/>
                <w:color w:val="auto"/>
                <w:szCs w:val="22"/>
                <w:highlight w:val="none"/>
              </w:rPr>
            </w:pPr>
          </w:p>
        </w:tc>
        <w:tc>
          <w:tcPr>
            <w:tcW w:w="5737" w:type="dxa"/>
            <w:tcBorders>
              <w:top w:val="single" w:color="auto" w:sz="4" w:space="0"/>
              <w:left w:val="single" w:color="auto" w:sz="4" w:space="0"/>
              <w:bottom w:val="single" w:color="auto" w:sz="4" w:space="0"/>
              <w:right w:val="single" w:color="auto" w:sz="4" w:space="0"/>
            </w:tcBorders>
            <w:noWrap w:val="0"/>
            <w:vAlign w:val="top"/>
          </w:tcPr>
          <w:p w14:paraId="2DFDD7F3">
            <w:pPr>
              <w:pStyle w:val="310"/>
              <w:keepNext w:val="0"/>
              <w:keepLines w:val="0"/>
              <w:suppressLineNumbers w:val="0"/>
              <w:spacing w:before="0" w:beforeAutospacing="0" w:after="0" w:afterAutospacing="0"/>
              <w:ind w:left="0" w:right="0"/>
              <w:rPr>
                <w:rFonts w:hint="default" w:ascii="Times New Roman" w:hAnsi="Calibri"/>
                <w:color w:val="auto"/>
                <w:sz w:val="20"/>
                <w:highlight w:val="none"/>
              </w:rPr>
            </w:pPr>
          </w:p>
        </w:tc>
        <w:tc>
          <w:tcPr>
            <w:tcW w:w="797" w:type="dxa"/>
            <w:tcBorders>
              <w:top w:val="single" w:color="auto" w:sz="4" w:space="0"/>
              <w:left w:val="single" w:color="auto" w:sz="4" w:space="0"/>
              <w:bottom w:val="single" w:color="auto" w:sz="4" w:space="0"/>
              <w:right w:val="single" w:color="auto" w:sz="4" w:space="0"/>
            </w:tcBorders>
            <w:noWrap w:val="0"/>
            <w:vAlign w:val="top"/>
          </w:tcPr>
          <w:p w14:paraId="223054DE">
            <w:pPr>
              <w:pStyle w:val="310"/>
              <w:keepNext w:val="0"/>
              <w:keepLines w:val="0"/>
              <w:suppressLineNumbers w:val="0"/>
              <w:spacing w:before="0" w:beforeAutospacing="0" w:after="0" w:afterAutospacing="0"/>
              <w:ind w:left="0" w:right="0"/>
              <w:rPr>
                <w:rFonts w:hint="default" w:ascii="Times New Roman" w:hAnsi="Calibri"/>
                <w:color w:val="auto"/>
                <w:sz w:val="20"/>
                <w:highlight w:val="none"/>
              </w:rPr>
            </w:pPr>
          </w:p>
        </w:tc>
      </w:tr>
    </w:tbl>
    <w:p w14:paraId="35D37DCD">
      <w:pPr>
        <w:jc w:val="center"/>
        <w:rPr>
          <w:rFonts w:hint="eastAsia" w:ascii="宋体" w:hAnsi="宋体" w:eastAsia="宋体" w:cs="宋体"/>
          <w:b/>
          <w:color w:val="auto"/>
          <w:sz w:val="32"/>
          <w:szCs w:val="32"/>
          <w:highlight w:val="none"/>
          <w:lang w:eastAsia="zh-CN"/>
        </w:rPr>
      </w:pPr>
    </w:p>
    <w:p w14:paraId="627683E6">
      <w:pPr>
        <w:jc w:val="center"/>
        <w:rPr>
          <w:rFonts w:hint="eastAsia" w:ascii="宋体" w:hAnsi="宋体" w:eastAsia="宋体" w:cs="宋体"/>
          <w:b/>
          <w:color w:val="auto"/>
          <w:sz w:val="32"/>
          <w:szCs w:val="32"/>
          <w:highlight w:val="none"/>
          <w:lang w:eastAsia="zh-CN"/>
        </w:rPr>
      </w:pPr>
    </w:p>
    <w:p w14:paraId="7C18EA57">
      <w:pPr>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14:paraId="7F3B6B31">
      <w:pPr>
        <w:adjustRightInd w:val="0"/>
        <w:snapToGrid w:val="0"/>
        <w:spacing w:line="360" w:lineRule="auto"/>
        <w:ind w:right="23" w:rightChars="11"/>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七</w:t>
      </w:r>
      <w:r>
        <w:rPr>
          <w:rFonts w:hint="eastAsia" w:ascii="宋体" w:hAnsi="宋体" w:eastAsia="宋体" w:cs="宋体"/>
          <w:b/>
          <w:color w:val="auto"/>
          <w:sz w:val="32"/>
          <w:szCs w:val="32"/>
          <w:highlight w:val="none"/>
        </w:rPr>
        <w:t>、供应商认为需要提供的其它资料</w:t>
      </w:r>
      <w:bookmarkEnd w:id="71"/>
      <w:bookmarkEnd w:id="72"/>
      <w:bookmarkEnd w:id="73"/>
    </w:p>
    <w:p w14:paraId="4D9CF0CB">
      <w:pPr>
        <w:adjustRightInd w:val="0"/>
        <w:snapToGrid w:val="0"/>
        <w:spacing w:beforeLines="50" w:line="360" w:lineRule="auto"/>
        <w:ind w:right="23" w:rightChars="11"/>
        <w:jc w:val="center"/>
        <w:rPr>
          <w:rFonts w:hint="eastAsia" w:ascii="宋体" w:hAnsi="宋体" w:eastAsia="宋体" w:cs="宋体"/>
          <w:color w:val="auto"/>
          <w:sz w:val="28"/>
          <w:szCs w:val="28"/>
          <w:highlight w:val="none"/>
        </w:rPr>
      </w:pPr>
    </w:p>
    <w:p w14:paraId="37D40FB0">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3D999125">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0074E6F2">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3D61F650">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587F5402">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60DA6B1C">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58B5D6A4">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04C3D642">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26803451">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0CBCD717">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7613B416">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738A7629">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1628EB55">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21CA59E2">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383CCCD8">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176F9565">
      <w:pPr>
        <w:adjustRightInd w:val="0"/>
        <w:snapToGrid w:val="0"/>
        <w:spacing w:beforeLines="50" w:line="360" w:lineRule="auto"/>
        <w:ind w:right="23" w:rightChars="11"/>
        <w:jc w:val="center"/>
        <w:rPr>
          <w:rFonts w:hint="eastAsia" w:ascii="宋体" w:hAnsi="宋体" w:eastAsia="宋体" w:cs="宋体"/>
          <w:b/>
          <w:color w:val="auto"/>
          <w:sz w:val="32"/>
          <w:szCs w:val="32"/>
          <w:highlight w:val="none"/>
        </w:rPr>
      </w:pPr>
    </w:p>
    <w:p w14:paraId="596F4879">
      <w:pPr>
        <w:rPr>
          <w:rFonts w:hint="eastAsia" w:ascii="宋体" w:hAnsi="宋体" w:eastAsia="宋体" w:cs="宋体"/>
          <w:b/>
          <w:color w:val="auto"/>
          <w:sz w:val="32"/>
          <w:szCs w:val="32"/>
          <w:highlight w:val="none"/>
          <w:lang w:eastAsia="zh-CN"/>
        </w:rPr>
      </w:pPr>
    </w:p>
    <w:sectPr>
      <w:headerReference r:id="rId6" w:type="default"/>
      <w:footerReference r:id="rId7" w:type="default"/>
      <w:pgSz w:w="11906" w:h="16838"/>
      <w:pgMar w:top="1134" w:right="1417" w:bottom="1134" w:left="1417" w:header="720" w:footer="72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EBB54">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94AD5">
    <w:pPr>
      <w:framePr w:wrap="around" w:vAnchor="text" w:hAnchor="margin" w:xAlign="center" w:y="1"/>
      <w:widowControl w:val="0"/>
      <w:snapToGrid w:val="0"/>
      <w:jc w:val="left"/>
      <w:rPr>
        <w:rStyle w:val="48"/>
        <w:rFonts w:ascii="Times New Roman" w:hAnsi="Times New Roman" w:eastAsia="宋体" w:cs="Times New Roman"/>
        <w:kern w:val="2"/>
        <w:sz w:val="18"/>
        <w:szCs w:val="18"/>
        <w:lang w:val="en-US" w:eastAsia="zh-CN" w:bidi="ar-SA"/>
      </w:rPr>
    </w:pPr>
    <w:r>
      <w:rPr>
        <w:rStyle w:val="48"/>
        <w:rFonts w:ascii="Times New Roman" w:hAnsi="Times New Roman" w:eastAsia="宋体" w:cs="Times New Roman"/>
        <w:kern w:val="2"/>
        <w:sz w:val="21"/>
        <w:szCs w:val="24"/>
        <w:lang w:val="en-US" w:eastAsia="zh-CN" w:bidi="ar-SA"/>
      </w:rPr>
      <w:fldChar w:fldCharType="begin"/>
    </w:r>
    <w:r>
      <w:rPr>
        <w:rStyle w:val="48"/>
        <w:rFonts w:ascii="Times New Roman" w:hAnsi="Times New Roman" w:eastAsia="宋体" w:cs="Times New Roman"/>
        <w:kern w:val="2"/>
        <w:sz w:val="21"/>
        <w:szCs w:val="24"/>
        <w:lang w:val="en-US" w:eastAsia="zh-CN" w:bidi="ar-SA"/>
      </w:rPr>
      <w:instrText xml:space="preserve">PAGE  </w:instrText>
    </w:r>
    <w:r>
      <w:rPr>
        <w:rStyle w:val="48"/>
        <w:rFonts w:ascii="Times New Roman" w:hAnsi="Times New Roman" w:eastAsia="宋体" w:cs="Times New Roman"/>
        <w:kern w:val="2"/>
        <w:sz w:val="21"/>
        <w:szCs w:val="24"/>
        <w:lang w:val="en-US" w:eastAsia="zh-CN" w:bidi="ar-SA"/>
      </w:rPr>
      <w:fldChar w:fldCharType="end"/>
    </w:r>
  </w:p>
  <w:p w14:paraId="6D8CD4A7">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A99D">
    <w:pPr>
      <w:widowControl w:val="0"/>
      <w:snapToGrid w:val="0"/>
      <w:jc w:val="center"/>
      <w:rPr>
        <w:rFonts w:ascii="Times New Roman" w:hAnsi="Times New Roman" w:eastAsia="宋体" w:cs="Times New Roman"/>
        <w:kern w:val="2"/>
        <w:sz w:val="18"/>
        <w:szCs w:val="18"/>
        <w:lang w:val="en-US" w:eastAsia="zh-CN" w:bidi="ar-SA"/>
      </w:rPr>
    </w:pPr>
  </w:p>
  <w:p w14:paraId="1B390FF2">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7F4F">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40DD1">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D40DD1">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6453B">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9150F"/>
    <w:multiLevelType w:val="singleLevel"/>
    <w:tmpl w:val="B2A9150F"/>
    <w:lvl w:ilvl="0" w:tentative="0">
      <w:start w:val="3"/>
      <w:numFmt w:val="chineseCounting"/>
      <w:suff w:val="nothing"/>
      <w:lvlText w:val="%1、"/>
      <w:lvlJc w:val="left"/>
      <w:pPr>
        <w:ind w:left="0" w:firstLine="0"/>
      </w:pPr>
    </w:lvl>
  </w:abstractNum>
  <w:abstractNum w:abstractNumId="1">
    <w:nsid w:val="E55574D9"/>
    <w:multiLevelType w:val="singleLevel"/>
    <w:tmpl w:val="E55574D9"/>
    <w:lvl w:ilvl="0" w:tentative="0">
      <w:start w:val="3"/>
      <w:numFmt w:val="chineseCounting"/>
      <w:suff w:val="space"/>
      <w:lvlText w:val="第%1章"/>
      <w:lvlJc w:val="left"/>
      <w:rPr>
        <w:rFonts w:hint="eastAsia"/>
      </w:rPr>
    </w:lvl>
  </w:abstractNum>
  <w:num w:numId="1">
    <w:abstractNumId w:val="1"/>
  </w:num>
  <w:num w:numId="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zZWJmNzY4ZjEyYzcwY2VhMjNhNjRiMTVmZWZiNDMifQ=="/>
    <w:docVar w:name="KSO_WPS_MARK_KEY" w:val="50015908-8bb2-4e27-8c91-9ce811954b43"/>
  </w:docVars>
  <w:rsids>
    <w:rsidRoot w:val="00172A27"/>
    <w:rsid w:val="00034414"/>
    <w:rsid w:val="000A3A13"/>
    <w:rsid w:val="000D221D"/>
    <w:rsid w:val="000D2233"/>
    <w:rsid w:val="000E696C"/>
    <w:rsid w:val="00122327"/>
    <w:rsid w:val="00123DDD"/>
    <w:rsid w:val="00125861"/>
    <w:rsid w:val="0014150F"/>
    <w:rsid w:val="00171E79"/>
    <w:rsid w:val="00183FF0"/>
    <w:rsid w:val="00190846"/>
    <w:rsid w:val="001A25D9"/>
    <w:rsid w:val="001B3461"/>
    <w:rsid w:val="001C61C2"/>
    <w:rsid w:val="001E04D2"/>
    <w:rsid w:val="0021176D"/>
    <w:rsid w:val="0021576A"/>
    <w:rsid w:val="00225185"/>
    <w:rsid w:val="00226343"/>
    <w:rsid w:val="00246FDC"/>
    <w:rsid w:val="00247A00"/>
    <w:rsid w:val="002910F2"/>
    <w:rsid w:val="002D1F09"/>
    <w:rsid w:val="0030071E"/>
    <w:rsid w:val="00321FC7"/>
    <w:rsid w:val="003404EA"/>
    <w:rsid w:val="0034294B"/>
    <w:rsid w:val="00370D01"/>
    <w:rsid w:val="00383BE1"/>
    <w:rsid w:val="00391320"/>
    <w:rsid w:val="003A65C8"/>
    <w:rsid w:val="003C319D"/>
    <w:rsid w:val="003D476B"/>
    <w:rsid w:val="00424A5B"/>
    <w:rsid w:val="00441AC2"/>
    <w:rsid w:val="00446238"/>
    <w:rsid w:val="00447C93"/>
    <w:rsid w:val="004527D4"/>
    <w:rsid w:val="00460C14"/>
    <w:rsid w:val="00475FEC"/>
    <w:rsid w:val="004B4323"/>
    <w:rsid w:val="004C6F9E"/>
    <w:rsid w:val="004D6374"/>
    <w:rsid w:val="00501A3A"/>
    <w:rsid w:val="00506DD3"/>
    <w:rsid w:val="00554A2F"/>
    <w:rsid w:val="00561603"/>
    <w:rsid w:val="00586D42"/>
    <w:rsid w:val="005947B1"/>
    <w:rsid w:val="005B131A"/>
    <w:rsid w:val="005B1B36"/>
    <w:rsid w:val="005E273A"/>
    <w:rsid w:val="005E2B95"/>
    <w:rsid w:val="005F25D8"/>
    <w:rsid w:val="005F5013"/>
    <w:rsid w:val="006114DE"/>
    <w:rsid w:val="00650ABB"/>
    <w:rsid w:val="00661E3A"/>
    <w:rsid w:val="006725C5"/>
    <w:rsid w:val="006B1180"/>
    <w:rsid w:val="006D0CE9"/>
    <w:rsid w:val="006E5AC2"/>
    <w:rsid w:val="0071143A"/>
    <w:rsid w:val="00734DD6"/>
    <w:rsid w:val="00736B19"/>
    <w:rsid w:val="00753640"/>
    <w:rsid w:val="00775C79"/>
    <w:rsid w:val="007E474D"/>
    <w:rsid w:val="007F2C36"/>
    <w:rsid w:val="007F421B"/>
    <w:rsid w:val="0081099A"/>
    <w:rsid w:val="00814AA3"/>
    <w:rsid w:val="00814D64"/>
    <w:rsid w:val="00830897"/>
    <w:rsid w:val="00851CDC"/>
    <w:rsid w:val="0085634F"/>
    <w:rsid w:val="00864B39"/>
    <w:rsid w:val="008B2038"/>
    <w:rsid w:val="009059AA"/>
    <w:rsid w:val="00942305"/>
    <w:rsid w:val="009812EA"/>
    <w:rsid w:val="00981784"/>
    <w:rsid w:val="00991C59"/>
    <w:rsid w:val="009926CE"/>
    <w:rsid w:val="00994E36"/>
    <w:rsid w:val="009A1557"/>
    <w:rsid w:val="009A3862"/>
    <w:rsid w:val="009E70F5"/>
    <w:rsid w:val="009F1270"/>
    <w:rsid w:val="00A20B78"/>
    <w:rsid w:val="00A250E0"/>
    <w:rsid w:val="00AA1E52"/>
    <w:rsid w:val="00AA6C66"/>
    <w:rsid w:val="00AB1025"/>
    <w:rsid w:val="00AB5ECA"/>
    <w:rsid w:val="00AC2FB2"/>
    <w:rsid w:val="00AD2660"/>
    <w:rsid w:val="00B0722A"/>
    <w:rsid w:val="00B07611"/>
    <w:rsid w:val="00B1616A"/>
    <w:rsid w:val="00B20AA1"/>
    <w:rsid w:val="00B30C75"/>
    <w:rsid w:val="00B31ED7"/>
    <w:rsid w:val="00B3488D"/>
    <w:rsid w:val="00B50016"/>
    <w:rsid w:val="00B53B2E"/>
    <w:rsid w:val="00B7230E"/>
    <w:rsid w:val="00B760B4"/>
    <w:rsid w:val="00B835E4"/>
    <w:rsid w:val="00B90E15"/>
    <w:rsid w:val="00BB5E6C"/>
    <w:rsid w:val="00BC0F32"/>
    <w:rsid w:val="00BC17A9"/>
    <w:rsid w:val="00BC73DE"/>
    <w:rsid w:val="00BE2885"/>
    <w:rsid w:val="00BF7553"/>
    <w:rsid w:val="00C23395"/>
    <w:rsid w:val="00C46179"/>
    <w:rsid w:val="00C72D17"/>
    <w:rsid w:val="00C920E3"/>
    <w:rsid w:val="00CA2711"/>
    <w:rsid w:val="00CA48D8"/>
    <w:rsid w:val="00CA5B81"/>
    <w:rsid w:val="00CD2641"/>
    <w:rsid w:val="00D1008E"/>
    <w:rsid w:val="00D15BB4"/>
    <w:rsid w:val="00D247B8"/>
    <w:rsid w:val="00D67E4D"/>
    <w:rsid w:val="00D70F00"/>
    <w:rsid w:val="00D95E7F"/>
    <w:rsid w:val="00DC2E55"/>
    <w:rsid w:val="00DF4FFE"/>
    <w:rsid w:val="00E01DE9"/>
    <w:rsid w:val="00E04582"/>
    <w:rsid w:val="00E16996"/>
    <w:rsid w:val="00E341A0"/>
    <w:rsid w:val="00E46331"/>
    <w:rsid w:val="00E70533"/>
    <w:rsid w:val="00EA64A5"/>
    <w:rsid w:val="00EB203C"/>
    <w:rsid w:val="00ED7269"/>
    <w:rsid w:val="00ED7815"/>
    <w:rsid w:val="00F028FC"/>
    <w:rsid w:val="00F0582F"/>
    <w:rsid w:val="00F06489"/>
    <w:rsid w:val="00F23B43"/>
    <w:rsid w:val="00F31534"/>
    <w:rsid w:val="00F7048F"/>
    <w:rsid w:val="00F76805"/>
    <w:rsid w:val="00F906AC"/>
    <w:rsid w:val="00FE02E0"/>
    <w:rsid w:val="00FE0CCA"/>
    <w:rsid w:val="010A6613"/>
    <w:rsid w:val="01496131"/>
    <w:rsid w:val="014D28C9"/>
    <w:rsid w:val="015F4842"/>
    <w:rsid w:val="01821B74"/>
    <w:rsid w:val="0184512F"/>
    <w:rsid w:val="0187577B"/>
    <w:rsid w:val="018A7679"/>
    <w:rsid w:val="018E163C"/>
    <w:rsid w:val="01905E12"/>
    <w:rsid w:val="019479C3"/>
    <w:rsid w:val="0195764A"/>
    <w:rsid w:val="019F6259"/>
    <w:rsid w:val="01C10516"/>
    <w:rsid w:val="01C34939"/>
    <w:rsid w:val="01C7267B"/>
    <w:rsid w:val="02102A07"/>
    <w:rsid w:val="021410CB"/>
    <w:rsid w:val="021A09FD"/>
    <w:rsid w:val="02557C87"/>
    <w:rsid w:val="025649A5"/>
    <w:rsid w:val="026E6F9B"/>
    <w:rsid w:val="02836E2C"/>
    <w:rsid w:val="02867E41"/>
    <w:rsid w:val="028A03CA"/>
    <w:rsid w:val="02996215"/>
    <w:rsid w:val="029C1412"/>
    <w:rsid w:val="02A7282D"/>
    <w:rsid w:val="02A73A0A"/>
    <w:rsid w:val="02A92600"/>
    <w:rsid w:val="02AF4AC0"/>
    <w:rsid w:val="02C40969"/>
    <w:rsid w:val="02C91CBB"/>
    <w:rsid w:val="02CF7A3A"/>
    <w:rsid w:val="02F00893"/>
    <w:rsid w:val="02F33B36"/>
    <w:rsid w:val="02F72AEC"/>
    <w:rsid w:val="031408D6"/>
    <w:rsid w:val="03152FC7"/>
    <w:rsid w:val="032D5661"/>
    <w:rsid w:val="03327FC8"/>
    <w:rsid w:val="034F1513"/>
    <w:rsid w:val="03522419"/>
    <w:rsid w:val="036D1000"/>
    <w:rsid w:val="03960557"/>
    <w:rsid w:val="03D465D9"/>
    <w:rsid w:val="03D62108"/>
    <w:rsid w:val="03E34ABE"/>
    <w:rsid w:val="04025BED"/>
    <w:rsid w:val="040E6340"/>
    <w:rsid w:val="04186323"/>
    <w:rsid w:val="04260472"/>
    <w:rsid w:val="04301D26"/>
    <w:rsid w:val="043B10FF"/>
    <w:rsid w:val="04425A7A"/>
    <w:rsid w:val="04543648"/>
    <w:rsid w:val="04763950"/>
    <w:rsid w:val="047B58A3"/>
    <w:rsid w:val="047D34C5"/>
    <w:rsid w:val="048D65BC"/>
    <w:rsid w:val="04A37253"/>
    <w:rsid w:val="04B00AB1"/>
    <w:rsid w:val="04E13140"/>
    <w:rsid w:val="04E377CC"/>
    <w:rsid w:val="05096B07"/>
    <w:rsid w:val="051756C8"/>
    <w:rsid w:val="052162A6"/>
    <w:rsid w:val="053973EC"/>
    <w:rsid w:val="05477768"/>
    <w:rsid w:val="054933A7"/>
    <w:rsid w:val="054A6BA6"/>
    <w:rsid w:val="056401E1"/>
    <w:rsid w:val="05701D6C"/>
    <w:rsid w:val="05814583"/>
    <w:rsid w:val="058910A7"/>
    <w:rsid w:val="058F34B0"/>
    <w:rsid w:val="05AB7BBE"/>
    <w:rsid w:val="05AF0D7B"/>
    <w:rsid w:val="05B20F4D"/>
    <w:rsid w:val="05B40CF8"/>
    <w:rsid w:val="05B96C68"/>
    <w:rsid w:val="05DB3F81"/>
    <w:rsid w:val="05E536D6"/>
    <w:rsid w:val="05F9510C"/>
    <w:rsid w:val="05FA0AE5"/>
    <w:rsid w:val="061C3F4A"/>
    <w:rsid w:val="06471FDD"/>
    <w:rsid w:val="066606B5"/>
    <w:rsid w:val="066945DC"/>
    <w:rsid w:val="066B7EF4"/>
    <w:rsid w:val="06862B05"/>
    <w:rsid w:val="06A232C1"/>
    <w:rsid w:val="06A50435"/>
    <w:rsid w:val="06BA45E5"/>
    <w:rsid w:val="06F965AD"/>
    <w:rsid w:val="071E0F8F"/>
    <w:rsid w:val="07500FD4"/>
    <w:rsid w:val="075410AD"/>
    <w:rsid w:val="075E75DE"/>
    <w:rsid w:val="07634B9C"/>
    <w:rsid w:val="076662C3"/>
    <w:rsid w:val="077119D3"/>
    <w:rsid w:val="07740BAF"/>
    <w:rsid w:val="077A1F3E"/>
    <w:rsid w:val="07834179"/>
    <w:rsid w:val="07AE03CA"/>
    <w:rsid w:val="07C733D5"/>
    <w:rsid w:val="07D40D68"/>
    <w:rsid w:val="07E8334B"/>
    <w:rsid w:val="07F10452"/>
    <w:rsid w:val="08161C67"/>
    <w:rsid w:val="08272810"/>
    <w:rsid w:val="08536A17"/>
    <w:rsid w:val="087B4E0A"/>
    <w:rsid w:val="08857757"/>
    <w:rsid w:val="08877C9C"/>
    <w:rsid w:val="08AF5C17"/>
    <w:rsid w:val="08B226FB"/>
    <w:rsid w:val="08C00B6C"/>
    <w:rsid w:val="08CA3FA3"/>
    <w:rsid w:val="08F301FA"/>
    <w:rsid w:val="091671DC"/>
    <w:rsid w:val="09246605"/>
    <w:rsid w:val="093738EA"/>
    <w:rsid w:val="094C53FB"/>
    <w:rsid w:val="09507B23"/>
    <w:rsid w:val="09523172"/>
    <w:rsid w:val="09A454D4"/>
    <w:rsid w:val="09BA5318"/>
    <w:rsid w:val="09D41261"/>
    <w:rsid w:val="09DF42DA"/>
    <w:rsid w:val="09ED69F7"/>
    <w:rsid w:val="0A0A6913"/>
    <w:rsid w:val="0A13455E"/>
    <w:rsid w:val="0A283ED3"/>
    <w:rsid w:val="0A4D0598"/>
    <w:rsid w:val="0A4F1460"/>
    <w:rsid w:val="0A5A5B40"/>
    <w:rsid w:val="0A5D5F27"/>
    <w:rsid w:val="0A67799B"/>
    <w:rsid w:val="0A7078E3"/>
    <w:rsid w:val="0A8960FD"/>
    <w:rsid w:val="0A8A693C"/>
    <w:rsid w:val="0AAF50D6"/>
    <w:rsid w:val="0AC41912"/>
    <w:rsid w:val="0AD10FB9"/>
    <w:rsid w:val="0AD552DB"/>
    <w:rsid w:val="0AD941B4"/>
    <w:rsid w:val="0ADF1A35"/>
    <w:rsid w:val="0AFC1367"/>
    <w:rsid w:val="0B00275A"/>
    <w:rsid w:val="0B0E30C9"/>
    <w:rsid w:val="0B183444"/>
    <w:rsid w:val="0B2C354F"/>
    <w:rsid w:val="0B637C8E"/>
    <w:rsid w:val="0B9335CE"/>
    <w:rsid w:val="0B956F5F"/>
    <w:rsid w:val="0BA13F3D"/>
    <w:rsid w:val="0BA83F47"/>
    <w:rsid w:val="0BE55E0C"/>
    <w:rsid w:val="0BF71DAF"/>
    <w:rsid w:val="0C0A7D34"/>
    <w:rsid w:val="0C240027"/>
    <w:rsid w:val="0C281F69"/>
    <w:rsid w:val="0C2A7D29"/>
    <w:rsid w:val="0C38074B"/>
    <w:rsid w:val="0C41302A"/>
    <w:rsid w:val="0C536C6F"/>
    <w:rsid w:val="0C5C7E64"/>
    <w:rsid w:val="0C607954"/>
    <w:rsid w:val="0C664D2E"/>
    <w:rsid w:val="0CA10BB0"/>
    <w:rsid w:val="0CAB4598"/>
    <w:rsid w:val="0CB64A3F"/>
    <w:rsid w:val="0CC003F3"/>
    <w:rsid w:val="0CCC6D98"/>
    <w:rsid w:val="0CD525D7"/>
    <w:rsid w:val="0CE00B35"/>
    <w:rsid w:val="0CE73BD2"/>
    <w:rsid w:val="0CF12CA2"/>
    <w:rsid w:val="0CF16AD2"/>
    <w:rsid w:val="0CF82F80"/>
    <w:rsid w:val="0D0260F8"/>
    <w:rsid w:val="0D065A5D"/>
    <w:rsid w:val="0D224C0A"/>
    <w:rsid w:val="0D256527"/>
    <w:rsid w:val="0D335069"/>
    <w:rsid w:val="0D3E1D8F"/>
    <w:rsid w:val="0D450E61"/>
    <w:rsid w:val="0D75742F"/>
    <w:rsid w:val="0D786F20"/>
    <w:rsid w:val="0D8C6527"/>
    <w:rsid w:val="0D9848DC"/>
    <w:rsid w:val="0DB41C8B"/>
    <w:rsid w:val="0DBC6E0C"/>
    <w:rsid w:val="0E097B78"/>
    <w:rsid w:val="0E1A131A"/>
    <w:rsid w:val="0E2A021A"/>
    <w:rsid w:val="0E323572"/>
    <w:rsid w:val="0E34011B"/>
    <w:rsid w:val="0E56100F"/>
    <w:rsid w:val="0E71409B"/>
    <w:rsid w:val="0E7771D7"/>
    <w:rsid w:val="0E8A6F0A"/>
    <w:rsid w:val="0EA84F5C"/>
    <w:rsid w:val="0EB57DEF"/>
    <w:rsid w:val="0ECC307F"/>
    <w:rsid w:val="0ED1461B"/>
    <w:rsid w:val="0EDD423C"/>
    <w:rsid w:val="0EE77EB9"/>
    <w:rsid w:val="0F0071CD"/>
    <w:rsid w:val="0F0D5446"/>
    <w:rsid w:val="0F1532CB"/>
    <w:rsid w:val="0F182768"/>
    <w:rsid w:val="0F2038E7"/>
    <w:rsid w:val="0F225395"/>
    <w:rsid w:val="0F2C1BE8"/>
    <w:rsid w:val="0F2C7FC2"/>
    <w:rsid w:val="0F3A26DF"/>
    <w:rsid w:val="0F46535D"/>
    <w:rsid w:val="0F495D8A"/>
    <w:rsid w:val="0F4C6CF4"/>
    <w:rsid w:val="0F5F3EF3"/>
    <w:rsid w:val="0F8676D2"/>
    <w:rsid w:val="0FB9730D"/>
    <w:rsid w:val="0FC24482"/>
    <w:rsid w:val="0FE45515"/>
    <w:rsid w:val="0FE8038D"/>
    <w:rsid w:val="10271032"/>
    <w:rsid w:val="10282537"/>
    <w:rsid w:val="103E61FE"/>
    <w:rsid w:val="104836B3"/>
    <w:rsid w:val="104D6442"/>
    <w:rsid w:val="106018D4"/>
    <w:rsid w:val="10771710"/>
    <w:rsid w:val="107A1AB9"/>
    <w:rsid w:val="10907F18"/>
    <w:rsid w:val="10964454"/>
    <w:rsid w:val="10CF50A9"/>
    <w:rsid w:val="10D91A83"/>
    <w:rsid w:val="10DF5F7F"/>
    <w:rsid w:val="10E02E12"/>
    <w:rsid w:val="10F845FF"/>
    <w:rsid w:val="10FE14EA"/>
    <w:rsid w:val="11020FDA"/>
    <w:rsid w:val="110A3C07"/>
    <w:rsid w:val="1111746F"/>
    <w:rsid w:val="11282801"/>
    <w:rsid w:val="11374F9C"/>
    <w:rsid w:val="11382C4E"/>
    <w:rsid w:val="114C66F9"/>
    <w:rsid w:val="11525A0F"/>
    <w:rsid w:val="11551FB6"/>
    <w:rsid w:val="11621A79"/>
    <w:rsid w:val="11822218"/>
    <w:rsid w:val="11936C66"/>
    <w:rsid w:val="11A46535"/>
    <w:rsid w:val="11A80278"/>
    <w:rsid w:val="11BF511D"/>
    <w:rsid w:val="11D76E60"/>
    <w:rsid w:val="11DF131B"/>
    <w:rsid w:val="11F7689E"/>
    <w:rsid w:val="12011292"/>
    <w:rsid w:val="12217B86"/>
    <w:rsid w:val="122276B0"/>
    <w:rsid w:val="12244F80"/>
    <w:rsid w:val="12246BA6"/>
    <w:rsid w:val="12492C39"/>
    <w:rsid w:val="125E66E4"/>
    <w:rsid w:val="127961AB"/>
    <w:rsid w:val="128628C7"/>
    <w:rsid w:val="12C7072D"/>
    <w:rsid w:val="12CE3EEF"/>
    <w:rsid w:val="12D175AE"/>
    <w:rsid w:val="12EA61CA"/>
    <w:rsid w:val="12F42733"/>
    <w:rsid w:val="13035262"/>
    <w:rsid w:val="133D279D"/>
    <w:rsid w:val="13765CAF"/>
    <w:rsid w:val="13897791"/>
    <w:rsid w:val="138A1256"/>
    <w:rsid w:val="13A744D8"/>
    <w:rsid w:val="13C908A8"/>
    <w:rsid w:val="13CA5182"/>
    <w:rsid w:val="13EA3328"/>
    <w:rsid w:val="13F53078"/>
    <w:rsid w:val="13F54E26"/>
    <w:rsid w:val="13F76DF0"/>
    <w:rsid w:val="13FE77CB"/>
    <w:rsid w:val="14007B2D"/>
    <w:rsid w:val="141A488D"/>
    <w:rsid w:val="143A4F2F"/>
    <w:rsid w:val="14416D7B"/>
    <w:rsid w:val="14433753"/>
    <w:rsid w:val="144401D2"/>
    <w:rsid w:val="14586F56"/>
    <w:rsid w:val="14634486"/>
    <w:rsid w:val="146401FE"/>
    <w:rsid w:val="1476392B"/>
    <w:rsid w:val="148F527B"/>
    <w:rsid w:val="149E2264"/>
    <w:rsid w:val="14B0380B"/>
    <w:rsid w:val="14BA0AC8"/>
    <w:rsid w:val="14CB202B"/>
    <w:rsid w:val="14D013EF"/>
    <w:rsid w:val="14DF0934"/>
    <w:rsid w:val="14E45D7A"/>
    <w:rsid w:val="14FA5B9B"/>
    <w:rsid w:val="15017B9E"/>
    <w:rsid w:val="150E4052"/>
    <w:rsid w:val="151352EA"/>
    <w:rsid w:val="152B64B8"/>
    <w:rsid w:val="152F5A13"/>
    <w:rsid w:val="153468E3"/>
    <w:rsid w:val="1534705F"/>
    <w:rsid w:val="154737E3"/>
    <w:rsid w:val="15496E98"/>
    <w:rsid w:val="154A11A2"/>
    <w:rsid w:val="1551406B"/>
    <w:rsid w:val="15623457"/>
    <w:rsid w:val="15676A5E"/>
    <w:rsid w:val="158B5108"/>
    <w:rsid w:val="158C17BA"/>
    <w:rsid w:val="159F72CA"/>
    <w:rsid w:val="15A24B3A"/>
    <w:rsid w:val="15AA668C"/>
    <w:rsid w:val="15D05B4B"/>
    <w:rsid w:val="15E2697E"/>
    <w:rsid w:val="15EF58D3"/>
    <w:rsid w:val="16077F93"/>
    <w:rsid w:val="16201170"/>
    <w:rsid w:val="162064D9"/>
    <w:rsid w:val="163868AA"/>
    <w:rsid w:val="163C6D3C"/>
    <w:rsid w:val="164200CB"/>
    <w:rsid w:val="168A32F8"/>
    <w:rsid w:val="16A250B3"/>
    <w:rsid w:val="16C90CFD"/>
    <w:rsid w:val="17002F5A"/>
    <w:rsid w:val="17471E3D"/>
    <w:rsid w:val="174F3432"/>
    <w:rsid w:val="178C5AA1"/>
    <w:rsid w:val="17AF79E2"/>
    <w:rsid w:val="17B80644"/>
    <w:rsid w:val="17C0399D"/>
    <w:rsid w:val="17CC2342"/>
    <w:rsid w:val="17F15579"/>
    <w:rsid w:val="17F731A6"/>
    <w:rsid w:val="17FD6923"/>
    <w:rsid w:val="18047D2E"/>
    <w:rsid w:val="180C5554"/>
    <w:rsid w:val="183F2B14"/>
    <w:rsid w:val="18440562"/>
    <w:rsid w:val="18610CDC"/>
    <w:rsid w:val="189270E7"/>
    <w:rsid w:val="18932590"/>
    <w:rsid w:val="189474E3"/>
    <w:rsid w:val="189B0F47"/>
    <w:rsid w:val="18C15C1F"/>
    <w:rsid w:val="18DF318C"/>
    <w:rsid w:val="18F57676"/>
    <w:rsid w:val="18F9038A"/>
    <w:rsid w:val="190909D0"/>
    <w:rsid w:val="191044B0"/>
    <w:rsid w:val="191316D9"/>
    <w:rsid w:val="19303E00"/>
    <w:rsid w:val="1946081F"/>
    <w:rsid w:val="194B6C2B"/>
    <w:rsid w:val="194D5800"/>
    <w:rsid w:val="196531B1"/>
    <w:rsid w:val="19680B28"/>
    <w:rsid w:val="19743FED"/>
    <w:rsid w:val="19744A3F"/>
    <w:rsid w:val="198C189C"/>
    <w:rsid w:val="1998142E"/>
    <w:rsid w:val="19A312AE"/>
    <w:rsid w:val="19A54F04"/>
    <w:rsid w:val="19AA0461"/>
    <w:rsid w:val="19AE18C1"/>
    <w:rsid w:val="19ED3EA6"/>
    <w:rsid w:val="19EE47F1"/>
    <w:rsid w:val="19EF056A"/>
    <w:rsid w:val="19F375B2"/>
    <w:rsid w:val="19FD0B02"/>
    <w:rsid w:val="1A0062D3"/>
    <w:rsid w:val="1A132FFC"/>
    <w:rsid w:val="1A147FD0"/>
    <w:rsid w:val="1A1641BE"/>
    <w:rsid w:val="1A2D037C"/>
    <w:rsid w:val="1A31224C"/>
    <w:rsid w:val="1A635938"/>
    <w:rsid w:val="1A9A08E4"/>
    <w:rsid w:val="1AA2724E"/>
    <w:rsid w:val="1AA475A6"/>
    <w:rsid w:val="1AB64BE3"/>
    <w:rsid w:val="1AC217DA"/>
    <w:rsid w:val="1AE16104"/>
    <w:rsid w:val="1AEC6857"/>
    <w:rsid w:val="1B1916FF"/>
    <w:rsid w:val="1B416FE8"/>
    <w:rsid w:val="1B570174"/>
    <w:rsid w:val="1B586AD4"/>
    <w:rsid w:val="1B735084"/>
    <w:rsid w:val="1B7D6C5B"/>
    <w:rsid w:val="1B8672E2"/>
    <w:rsid w:val="1B9B2757"/>
    <w:rsid w:val="1BC670A8"/>
    <w:rsid w:val="1BE0016A"/>
    <w:rsid w:val="1BEF04E6"/>
    <w:rsid w:val="1C142509"/>
    <w:rsid w:val="1C166281"/>
    <w:rsid w:val="1C3267B9"/>
    <w:rsid w:val="1C3551FD"/>
    <w:rsid w:val="1C705992"/>
    <w:rsid w:val="1C753628"/>
    <w:rsid w:val="1CAC44F0"/>
    <w:rsid w:val="1CCB2BC8"/>
    <w:rsid w:val="1CDA105D"/>
    <w:rsid w:val="1D111AA6"/>
    <w:rsid w:val="1D1F1166"/>
    <w:rsid w:val="1D231209"/>
    <w:rsid w:val="1D2372BC"/>
    <w:rsid w:val="1D297145"/>
    <w:rsid w:val="1D4330A6"/>
    <w:rsid w:val="1D521BCB"/>
    <w:rsid w:val="1D9F5F9B"/>
    <w:rsid w:val="1DB23D88"/>
    <w:rsid w:val="1DC31AF1"/>
    <w:rsid w:val="1DC52D27"/>
    <w:rsid w:val="1DCA21E4"/>
    <w:rsid w:val="1DDF5F8E"/>
    <w:rsid w:val="1DE0617B"/>
    <w:rsid w:val="1E0068A1"/>
    <w:rsid w:val="1E2D7DCC"/>
    <w:rsid w:val="1E3A6A9B"/>
    <w:rsid w:val="1E551D30"/>
    <w:rsid w:val="1E5B61CE"/>
    <w:rsid w:val="1E65692F"/>
    <w:rsid w:val="1E6A4663"/>
    <w:rsid w:val="1E6D5821"/>
    <w:rsid w:val="1E776CCB"/>
    <w:rsid w:val="1E8A0861"/>
    <w:rsid w:val="1E90231B"/>
    <w:rsid w:val="1EB77B79"/>
    <w:rsid w:val="1ED216B2"/>
    <w:rsid w:val="1EE93521"/>
    <w:rsid w:val="1F4629DA"/>
    <w:rsid w:val="1F4A162A"/>
    <w:rsid w:val="1F4B4494"/>
    <w:rsid w:val="1F536EA5"/>
    <w:rsid w:val="1F574BE7"/>
    <w:rsid w:val="1F60423E"/>
    <w:rsid w:val="1F667DEB"/>
    <w:rsid w:val="1F7F2436"/>
    <w:rsid w:val="1FB82C5C"/>
    <w:rsid w:val="1FBA6F24"/>
    <w:rsid w:val="1FBC0EEE"/>
    <w:rsid w:val="1FC3402A"/>
    <w:rsid w:val="1FC64896"/>
    <w:rsid w:val="1FF722E1"/>
    <w:rsid w:val="200D799B"/>
    <w:rsid w:val="20125E2E"/>
    <w:rsid w:val="20241274"/>
    <w:rsid w:val="203B0065"/>
    <w:rsid w:val="20674ED5"/>
    <w:rsid w:val="20690A0E"/>
    <w:rsid w:val="206F1BC4"/>
    <w:rsid w:val="206F20D9"/>
    <w:rsid w:val="2074493B"/>
    <w:rsid w:val="207F634B"/>
    <w:rsid w:val="20823D29"/>
    <w:rsid w:val="20826113"/>
    <w:rsid w:val="208C6ED1"/>
    <w:rsid w:val="2096204F"/>
    <w:rsid w:val="20B8657A"/>
    <w:rsid w:val="20C60D01"/>
    <w:rsid w:val="20E119DF"/>
    <w:rsid w:val="20E95D13"/>
    <w:rsid w:val="20FD17BE"/>
    <w:rsid w:val="21093CBF"/>
    <w:rsid w:val="210C3308"/>
    <w:rsid w:val="211474D2"/>
    <w:rsid w:val="211615EA"/>
    <w:rsid w:val="212154AC"/>
    <w:rsid w:val="21285DF3"/>
    <w:rsid w:val="2146341B"/>
    <w:rsid w:val="21515666"/>
    <w:rsid w:val="215C61B6"/>
    <w:rsid w:val="21617F9F"/>
    <w:rsid w:val="217B70D5"/>
    <w:rsid w:val="219771C8"/>
    <w:rsid w:val="21BE0F4D"/>
    <w:rsid w:val="21D06ED2"/>
    <w:rsid w:val="21E40288"/>
    <w:rsid w:val="21EC3183"/>
    <w:rsid w:val="22004589"/>
    <w:rsid w:val="220646A2"/>
    <w:rsid w:val="2228083B"/>
    <w:rsid w:val="222A213F"/>
    <w:rsid w:val="222D443D"/>
    <w:rsid w:val="2250591D"/>
    <w:rsid w:val="22593391"/>
    <w:rsid w:val="2265586D"/>
    <w:rsid w:val="2279343F"/>
    <w:rsid w:val="227C4DC1"/>
    <w:rsid w:val="229D6DB5"/>
    <w:rsid w:val="22B07BF1"/>
    <w:rsid w:val="22B81144"/>
    <w:rsid w:val="22C95DFC"/>
    <w:rsid w:val="22CF7094"/>
    <w:rsid w:val="22E27404"/>
    <w:rsid w:val="22FB47EB"/>
    <w:rsid w:val="23064E22"/>
    <w:rsid w:val="23076924"/>
    <w:rsid w:val="230D5405"/>
    <w:rsid w:val="23203542"/>
    <w:rsid w:val="2338762A"/>
    <w:rsid w:val="233C648F"/>
    <w:rsid w:val="233D2450"/>
    <w:rsid w:val="235809F3"/>
    <w:rsid w:val="23907569"/>
    <w:rsid w:val="23AB5501"/>
    <w:rsid w:val="23C71C0F"/>
    <w:rsid w:val="23D22A8E"/>
    <w:rsid w:val="23F31903"/>
    <w:rsid w:val="24042E63"/>
    <w:rsid w:val="24062738"/>
    <w:rsid w:val="244F0582"/>
    <w:rsid w:val="245416F5"/>
    <w:rsid w:val="24587334"/>
    <w:rsid w:val="245A04CE"/>
    <w:rsid w:val="245E07C6"/>
    <w:rsid w:val="24893C7C"/>
    <w:rsid w:val="248F682F"/>
    <w:rsid w:val="24A02B8C"/>
    <w:rsid w:val="24C6060B"/>
    <w:rsid w:val="24C71991"/>
    <w:rsid w:val="24CA19B7"/>
    <w:rsid w:val="24CA5E5B"/>
    <w:rsid w:val="24CD4A2C"/>
    <w:rsid w:val="24D34D10"/>
    <w:rsid w:val="24FD4DFB"/>
    <w:rsid w:val="250E5DA7"/>
    <w:rsid w:val="2512507A"/>
    <w:rsid w:val="252C08C4"/>
    <w:rsid w:val="25334962"/>
    <w:rsid w:val="25423C43"/>
    <w:rsid w:val="254B28E7"/>
    <w:rsid w:val="255C3FD5"/>
    <w:rsid w:val="255D0F69"/>
    <w:rsid w:val="256F729C"/>
    <w:rsid w:val="259029CD"/>
    <w:rsid w:val="25BD32CA"/>
    <w:rsid w:val="25E27C61"/>
    <w:rsid w:val="25E5790C"/>
    <w:rsid w:val="25F50CB6"/>
    <w:rsid w:val="2621364C"/>
    <w:rsid w:val="2632693A"/>
    <w:rsid w:val="264568C5"/>
    <w:rsid w:val="26484152"/>
    <w:rsid w:val="264F486A"/>
    <w:rsid w:val="26597496"/>
    <w:rsid w:val="26644CF8"/>
    <w:rsid w:val="266B0F78"/>
    <w:rsid w:val="26A61FB0"/>
    <w:rsid w:val="26AA5F44"/>
    <w:rsid w:val="26CF1507"/>
    <w:rsid w:val="26D62895"/>
    <w:rsid w:val="26E31456"/>
    <w:rsid w:val="26F45411"/>
    <w:rsid w:val="26FC2D07"/>
    <w:rsid w:val="26FE3B9A"/>
    <w:rsid w:val="27031E0D"/>
    <w:rsid w:val="27037402"/>
    <w:rsid w:val="27341339"/>
    <w:rsid w:val="273D2914"/>
    <w:rsid w:val="27402404"/>
    <w:rsid w:val="2753038A"/>
    <w:rsid w:val="27614E14"/>
    <w:rsid w:val="278D0763"/>
    <w:rsid w:val="279369D8"/>
    <w:rsid w:val="27952750"/>
    <w:rsid w:val="27BA5D13"/>
    <w:rsid w:val="27DC037F"/>
    <w:rsid w:val="28026AFF"/>
    <w:rsid w:val="28051B08"/>
    <w:rsid w:val="284A1C4B"/>
    <w:rsid w:val="285F3D2B"/>
    <w:rsid w:val="28834C9E"/>
    <w:rsid w:val="288E0F4E"/>
    <w:rsid w:val="28951CC5"/>
    <w:rsid w:val="28A569C3"/>
    <w:rsid w:val="28A8200F"/>
    <w:rsid w:val="28AF7842"/>
    <w:rsid w:val="292328FA"/>
    <w:rsid w:val="29254AF9"/>
    <w:rsid w:val="294D7CFF"/>
    <w:rsid w:val="29554601"/>
    <w:rsid w:val="295F542A"/>
    <w:rsid w:val="29763B49"/>
    <w:rsid w:val="29863F4A"/>
    <w:rsid w:val="29B03871"/>
    <w:rsid w:val="29BB1382"/>
    <w:rsid w:val="29CA2459"/>
    <w:rsid w:val="29CD63F9"/>
    <w:rsid w:val="2A4C1D88"/>
    <w:rsid w:val="2A5541C7"/>
    <w:rsid w:val="2A5B7D43"/>
    <w:rsid w:val="2A5E5FA7"/>
    <w:rsid w:val="2A806DDB"/>
    <w:rsid w:val="2A81520E"/>
    <w:rsid w:val="2AB23619"/>
    <w:rsid w:val="2AB73B69"/>
    <w:rsid w:val="2ACF7D27"/>
    <w:rsid w:val="2AEC78D1"/>
    <w:rsid w:val="2B3C1135"/>
    <w:rsid w:val="2B3E69EB"/>
    <w:rsid w:val="2B436F33"/>
    <w:rsid w:val="2B68600A"/>
    <w:rsid w:val="2B7A69DC"/>
    <w:rsid w:val="2B856638"/>
    <w:rsid w:val="2BA91563"/>
    <w:rsid w:val="2BB973E0"/>
    <w:rsid w:val="2BDE3D91"/>
    <w:rsid w:val="2BEF5930"/>
    <w:rsid w:val="2C17234C"/>
    <w:rsid w:val="2C1B6F9C"/>
    <w:rsid w:val="2C1D2D14"/>
    <w:rsid w:val="2C224ADC"/>
    <w:rsid w:val="2C350294"/>
    <w:rsid w:val="2C3A5674"/>
    <w:rsid w:val="2C416A03"/>
    <w:rsid w:val="2C4519BF"/>
    <w:rsid w:val="2C4C40BB"/>
    <w:rsid w:val="2C5D75B5"/>
    <w:rsid w:val="2C6128DD"/>
    <w:rsid w:val="2CB01DDA"/>
    <w:rsid w:val="2CBA67B5"/>
    <w:rsid w:val="2CDA4B10"/>
    <w:rsid w:val="2CF9552F"/>
    <w:rsid w:val="2D3A16A4"/>
    <w:rsid w:val="2D3B6280"/>
    <w:rsid w:val="2D3D0A60"/>
    <w:rsid w:val="2D6D3827"/>
    <w:rsid w:val="2D7E3C87"/>
    <w:rsid w:val="2D8D22E0"/>
    <w:rsid w:val="2DC21C36"/>
    <w:rsid w:val="2DCD0BD5"/>
    <w:rsid w:val="2DE06617"/>
    <w:rsid w:val="2DF647D0"/>
    <w:rsid w:val="2DFE26D1"/>
    <w:rsid w:val="2E053505"/>
    <w:rsid w:val="2E0B376C"/>
    <w:rsid w:val="2E1F2D74"/>
    <w:rsid w:val="2E2C723F"/>
    <w:rsid w:val="2E312AA7"/>
    <w:rsid w:val="2E415B63"/>
    <w:rsid w:val="2E6A7D67"/>
    <w:rsid w:val="2E8B21B7"/>
    <w:rsid w:val="2EBF325F"/>
    <w:rsid w:val="2ECE6548"/>
    <w:rsid w:val="2ED16F96"/>
    <w:rsid w:val="2ED743AA"/>
    <w:rsid w:val="2EDC637F"/>
    <w:rsid w:val="2EF97F7E"/>
    <w:rsid w:val="2F193C67"/>
    <w:rsid w:val="2F334F5C"/>
    <w:rsid w:val="2F364819"/>
    <w:rsid w:val="2F6E3407"/>
    <w:rsid w:val="2F854E58"/>
    <w:rsid w:val="2F8A09E3"/>
    <w:rsid w:val="2F93532D"/>
    <w:rsid w:val="2F9434D5"/>
    <w:rsid w:val="2FA66BAB"/>
    <w:rsid w:val="2FAF1ED5"/>
    <w:rsid w:val="2FB67708"/>
    <w:rsid w:val="2FD14487"/>
    <w:rsid w:val="2FDE0A0C"/>
    <w:rsid w:val="301663F8"/>
    <w:rsid w:val="301E705B"/>
    <w:rsid w:val="30496F97"/>
    <w:rsid w:val="30590093"/>
    <w:rsid w:val="305B6C08"/>
    <w:rsid w:val="309C68FD"/>
    <w:rsid w:val="30C57F8E"/>
    <w:rsid w:val="30ED6E8A"/>
    <w:rsid w:val="30FA70E7"/>
    <w:rsid w:val="31070D3C"/>
    <w:rsid w:val="31091AB9"/>
    <w:rsid w:val="3115220C"/>
    <w:rsid w:val="311566B0"/>
    <w:rsid w:val="311E5289"/>
    <w:rsid w:val="313808BF"/>
    <w:rsid w:val="3139239E"/>
    <w:rsid w:val="3142390C"/>
    <w:rsid w:val="31443F4B"/>
    <w:rsid w:val="31515E66"/>
    <w:rsid w:val="31630218"/>
    <w:rsid w:val="31646B0E"/>
    <w:rsid w:val="31676011"/>
    <w:rsid w:val="317433D6"/>
    <w:rsid w:val="317C04DD"/>
    <w:rsid w:val="31BC6B2B"/>
    <w:rsid w:val="31F40CDC"/>
    <w:rsid w:val="31FA3C94"/>
    <w:rsid w:val="320620ED"/>
    <w:rsid w:val="320B020A"/>
    <w:rsid w:val="32186458"/>
    <w:rsid w:val="321B38AD"/>
    <w:rsid w:val="32230959"/>
    <w:rsid w:val="324059AE"/>
    <w:rsid w:val="325D20BC"/>
    <w:rsid w:val="325E7BE3"/>
    <w:rsid w:val="3281224F"/>
    <w:rsid w:val="32852EE6"/>
    <w:rsid w:val="32CA786F"/>
    <w:rsid w:val="32D0288E"/>
    <w:rsid w:val="32D75004"/>
    <w:rsid w:val="32D85BE7"/>
    <w:rsid w:val="32DE5E68"/>
    <w:rsid w:val="32EE0F67"/>
    <w:rsid w:val="32F34E77"/>
    <w:rsid w:val="332E5DA3"/>
    <w:rsid w:val="333A1FBD"/>
    <w:rsid w:val="333C6176"/>
    <w:rsid w:val="33494BA7"/>
    <w:rsid w:val="33516380"/>
    <w:rsid w:val="33552964"/>
    <w:rsid w:val="335E3C31"/>
    <w:rsid w:val="336E66C9"/>
    <w:rsid w:val="33746DD8"/>
    <w:rsid w:val="33AD45E5"/>
    <w:rsid w:val="33BC32C1"/>
    <w:rsid w:val="33CC574C"/>
    <w:rsid w:val="33D97E69"/>
    <w:rsid w:val="33E63B83"/>
    <w:rsid w:val="340B74B4"/>
    <w:rsid w:val="341E4964"/>
    <w:rsid w:val="34306914"/>
    <w:rsid w:val="34357EF0"/>
    <w:rsid w:val="3442156A"/>
    <w:rsid w:val="344679D9"/>
    <w:rsid w:val="34495D75"/>
    <w:rsid w:val="34641ECB"/>
    <w:rsid w:val="34680306"/>
    <w:rsid w:val="346C2CC0"/>
    <w:rsid w:val="34790555"/>
    <w:rsid w:val="34823F0C"/>
    <w:rsid w:val="34901355"/>
    <w:rsid w:val="34B54432"/>
    <w:rsid w:val="34C5219B"/>
    <w:rsid w:val="34E70363"/>
    <w:rsid w:val="34E70FB5"/>
    <w:rsid w:val="34F07218"/>
    <w:rsid w:val="350950E5"/>
    <w:rsid w:val="350F11BD"/>
    <w:rsid w:val="350F5832"/>
    <w:rsid w:val="35150A2C"/>
    <w:rsid w:val="352176EA"/>
    <w:rsid w:val="35447564"/>
    <w:rsid w:val="35492DCC"/>
    <w:rsid w:val="358311AD"/>
    <w:rsid w:val="358D4A67"/>
    <w:rsid w:val="359650BF"/>
    <w:rsid w:val="35A61ECE"/>
    <w:rsid w:val="35A61FCC"/>
    <w:rsid w:val="35AB37D1"/>
    <w:rsid w:val="35FF6460"/>
    <w:rsid w:val="36093BC1"/>
    <w:rsid w:val="361A359F"/>
    <w:rsid w:val="362A0508"/>
    <w:rsid w:val="36413175"/>
    <w:rsid w:val="364D41F6"/>
    <w:rsid w:val="366208C9"/>
    <w:rsid w:val="366213DA"/>
    <w:rsid w:val="36755928"/>
    <w:rsid w:val="368C11C2"/>
    <w:rsid w:val="369D117B"/>
    <w:rsid w:val="36A15698"/>
    <w:rsid w:val="36B03408"/>
    <w:rsid w:val="36B83D65"/>
    <w:rsid w:val="36BF3346"/>
    <w:rsid w:val="36D4370D"/>
    <w:rsid w:val="36D84407"/>
    <w:rsid w:val="36F17277"/>
    <w:rsid w:val="36FC7B69"/>
    <w:rsid w:val="373D5B21"/>
    <w:rsid w:val="3755630F"/>
    <w:rsid w:val="375A4E1C"/>
    <w:rsid w:val="375F5813"/>
    <w:rsid w:val="37660B99"/>
    <w:rsid w:val="37697A4D"/>
    <w:rsid w:val="376C3058"/>
    <w:rsid w:val="377A2729"/>
    <w:rsid w:val="378571E0"/>
    <w:rsid w:val="379876F3"/>
    <w:rsid w:val="379C1149"/>
    <w:rsid w:val="37A77645"/>
    <w:rsid w:val="37EB1F18"/>
    <w:rsid w:val="37EC1B5A"/>
    <w:rsid w:val="38031A7D"/>
    <w:rsid w:val="381C67DA"/>
    <w:rsid w:val="38685317"/>
    <w:rsid w:val="387C5963"/>
    <w:rsid w:val="388E7474"/>
    <w:rsid w:val="38A54560"/>
    <w:rsid w:val="38D330D8"/>
    <w:rsid w:val="38DD5D05"/>
    <w:rsid w:val="38DD7AB3"/>
    <w:rsid w:val="38EA6674"/>
    <w:rsid w:val="38F923C1"/>
    <w:rsid w:val="391A261B"/>
    <w:rsid w:val="393E23F8"/>
    <w:rsid w:val="39430C4F"/>
    <w:rsid w:val="39615FD4"/>
    <w:rsid w:val="396226AE"/>
    <w:rsid w:val="39785A2E"/>
    <w:rsid w:val="39916AF0"/>
    <w:rsid w:val="39B20F40"/>
    <w:rsid w:val="39BC1DBE"/>
    <w:rsid w:val="39C34753"/>
    <w:rsid w:val="39D1091D"/>
    <w:rsid w:val="39D569DC"/>
    <w:rsid w:val="39F32F32"/>
    <w:rsid w:val="39FE34A7"/>
    <w:rsid w:val="3A175247"/>
    <w:rsid w:val="3A395142"/>
    <w:rsid w:val="3A467108"/>
    <w:rsid w:val="3A500759"/>
    <w:rsid w:val="3A5169AB"/>
    <w:rsid w:val="3A626DE7"/>
    <w:rsid w:val="3A6C498C"/>
    <w:rsid w:val="3A8A0CD7"/>
    <w:rsid w:val="3A976388"/>
    <w:rsid w:val="3A9E14C4"/>
    <w:rsid w:val="3AA20FB4"/>
    <w:rsid w:val="3AC16F61"/>
    <w:rsid w:val="3ACC4283"/>
    <w:rsid w:val="3AE55345"/>
    <w:rsid w:val="3AE8273F"/>
    <w:rsid w:val="3AF15A98"/>
    <w:rsid w:val="3AFE7AAD"/>
    <w:rsid w:val="3B0A0908"/>
    <w:rsid w:val="3B0D4800"/>
    <w:rsid w:val="3B0E664A"/>
    <w:rsid w:val="3B2C3AC5"/>
    <w:rsid w:val="3B3D76B1"/>
    <w:rsid w:val="3B485E21"/>
    <w:rsid w:val="3B5A188F"/>
    <w:rsid w:val="3B6B584A"/>
    <w:rsid w:val="3B710C4C"/>
    <w:rsid w:val="3B9A7EDD"/>
    <w:rsid w:val="3BAB0113"/>
    <w:rsid w:val="3BB07701"/>
    <w:rsid w:val="3BB52984"/>
    <w:rsid w:val="3BBC4756"/>
    <w:rsid w:val="3BC64870"/>
    <w:rsid w:val="3BDF7FE6"/>
    <w:rsid w:val="3C0D6901"/>
    <w:rsid w:val="3C1F6D37"/>
    <w:rsid w:val="3C2105FF"/>
    <w:rsid w:val="3C4D13F4"/>
    <w:rsid w:val="3C57178B"/>
    <w:rsid w:val="3C6A5B02"/>
    <w:rsid w:val="3C793F97"/>
    <w:rsid w:val="3C7E335B"/>
    <w:rsid w:val="3C884EC5"/>
    <w:rsid w:val="3C9C1A33"/>
    <w:rsid w:val="3CA64660"/>
    <w:rsid w:val="3CB332BB"/>
    <w:rsid w:val="3CB74ABF"/>
    <w:rsid w:val="3CBE7BFC"/>
    <w:rsid w:val="3CC86CCC"/>
    <w:rsid w:val="3CD8691F"/>
    <w:rsid w:val="3D0777F5"/>
    <w:rsid w:val="3D0F66A9"/>
    <w:rsid w:val="3D3208F6"/>
    <w:rsid w:val="3D346110"/>
    <w:rsid w:val="3D402B5B"/>
    <w:rsid w:val="3D43157D"/>
    <w:rsid w:val="3D4445A5"/>
    <w:rsid w:val="3D473C94"/>
    <w:rsid w:val="3D804EB1"/>
    <w:rsid w:val="3D8652C6"/>
    <w:rsid w:val="3D87453E"/>
    <w:rsid w:val="3DAE258C"/>
    <w:rsid w:val="3DB17B51"/>
    <w:rsid w:val="3DE12822"/>
    <w:rsid w:val="3DED7156"/>
    <w:rsid w:val="3E0B6E71"/>
    <w:rsid w:val="3E1026D9"/>
    <w:rsid w:val="3E13108D"/>
    <w:rsid w:val="3E173A67"/>
    <w:rsid w:val="3E1D3DE8"/>
    <w:rsid w:val="3E7A4570"/>
    <w:rsid w:val="3E84598C"/>
    <w:rsid w:val="3E846C23"/>
    <w:rsid w:val="3E952BDE"/>
    <w:rsid w:val="3EA01783"/>
    <w:rsid w:val="3EC86B10"/>
    <w:rsid w:val="3F0331D2"/>
    <w:rsid w:val="3F277CDA"/>
    <w:rsid w:val="3F2F3CB3"/>
    <w:rsid w:val="3F6F1681"/>
    <w:rsid w:val="3F724CCD"/>
    <w:rsid w:val="3FE536F1"/>
    <w:rsid w:val="3FF676AC"/>
    <w:rsid w:val="3FF73E65"/>
    <w:rsid w:val="3FF878C8"/>
    <w:rsid w:val="400303C3"/>
    <w:rsid w:val="400C3039"/>
    <w:rsid w:val="40262213"/>
    <w:rsid w:val="40372B20"/>
    <w:rsid w:val="404C5251"/>
    <w:rsid w:val="40512B35"/>
    <w:rsid w:val="4059782F"/>
    <w:rsid w:val="408E5B37"/>
    <w:rsid w:val="4093314D"/>
    <w:rsid w:val="40A31BE2"/>
    <w:rsid w:val="40A4535A"/>
    <w:rsid w:val="40C559FD"/>
    <w:rsid w:val="41083B3B"/>
    <w:rsid w:val="412626D2"/>
    <w:rsid w:val="414624D2"/>
    <w:rsid w:val="4171271F"/>
    <w:rsid w:val="417A37DF"/>
    <w:rsid w:val="418F776F"/>
    <w:rsid w:val="41C04359"/>
    <w:rsid w:val="41D57EC1"/>
    <w:rsid w:val="41DA4CB9"/>
    <w:rsid w:val="41FA176A"/>
    <w:rsid w:val="420C31B7"/>
    <w:rsid w:val="42163428"/>
    <w:rsid w:val="422B647D"/>
    <w:rsid w:val="42372EA9"/>
    <w:rsid w:val="42415557"/>
    <w:rsid w:val="42483274"/>
    <w:rsid w:val="42652791"/>
    <w:rsid w:val="42997141"/>
    <w:rsid w:val="42DC702D"/>
    <w:rsid w:val="42EC0F24"/>
    <w:rsid w:val="42FB6059"/>
    <w:rsid w:val="430C1F5B"/>
    <w:rsid w:val="4318697E"/>
    <w:rsid w:val="432327D8"/>
    <w:rsid w:val="4341194E"/>
    <w:rsid w:val="437B23A2"/>
    <w:rsid w:val="439A4A49"/>
    <w:rsid w:val="43B00525"/>
    <w:rsid w:val="44066EBB"/>
    <w:rsid w:val="440A3726"/>
    <w:rsid w:val="44412080"/>
    <w:rsid w:val="44507CD3"/>
    <w:rsid w:val="446E1F07"/>
    <w:rsid w:val="44705C7F"/>
    <w:rsid w:val="44737F2A"/>
    <w:rsid w:val="447629C1"/>
    <w:rsid w:val="449007B6"/>
    <w:rsid w:val="44B32010"/>
    <w:rsid w:val="44C77869"/>
    <w:rsid w:val="44DB012C"/>
    <w:rsid w:val="44DE4F4C"/>
    <w:rsid w:val="44E03245"/>
    <w:rsid w:val="44F22B38"/>
    <w:rsid w:val="45062140"/>
    <w:rsid w:val="453975B0"/>
    <w:rsid w:val="456A5A93"/>
    <w:rsid w:val="459260AE"/>
    <w:rsid w:val="45A15750"/>
    <w:rsid w:val="45AE65B3"/>
    <w:rsid w:val="45B51448"/>
    <w:rsid w:val="45B86E9F"/>
    <w:rsid w:val="45C82EDD"/>
    <w:rsid w:val="45CA13BF"/>
    <w:rsid w:val="45D5124C"/>
    <w:rsid w:val="45DC4237"/>
    <w:rsid w:val="45E614B1"/>
    <w:rsid w:val="45ED3300"/>
    <w:rsid w:val="46472446"/>
    <w:rsid w:val="46537607"/>
    <w:rsid w:val="465648DB"/>
    <w:rsid w:val="46643377"/>
    <w:rsid w:val="4667038F"/>
    <w:rsid w:val="46677582"/>
    <w:rsid w:val="466A79C1"/>
    <w:rsid w:val="46B1257F"/>
    <w:rsid w:val="46B47B67"/>
    <w:rsid w:val="46B8648E"/>
    <w:rsid w:val="46BD7EBA"/>
    <w:rsid w:val="46D22C21"/>
    <w:rsid w:val="46E04DED"/>
    <w:rsid w:val="46FA3F26"/>
    <w:rsid w:val="46FE034B"/>
    <w:rsid w:val="470923BB"/>
    <w:rsid w:val="47144F5E"/>
    <w:rsid w:val="471C4D66"/>
    <w:rsid w:val="47240FA3"/>
    <w:rsid w:val="47340508"/>
    <w:rsid w:val="47462478"/>
    <w:rsid w:val="475C698F"/>
    <w:rsid w:val="47734EDE"/>
    <w:rsid w:val="477C5D0A"/>
    <w:rsid w:val="47B37613"/>
    <w:rsid w:val="47CA7D9C"/>
    <w:rsid w:val="47F92430"/>
    <w:rsid w:val="4800731A"/>
    <w:rsid w:val="48214737"/>
    <w:rsid w:val="48270D4B"/>
    <w:rsid w:val="483E3DD8"/>
    <w:rsid w:val="485C14F6"/>
    <w:rsid w:val="488675E4"/>
    <w:rsid w:val="488D1B61"/>
    <w:rsid w:val="48BD5AF7"/>
    <w:rsid w:val="48C04CFB"/>
    <w:rsid w:val="48C94851"/>
    <w:rsid w:val="48D06EBC"/>
    <w:rsid w:val="48DF132F"/>
    <w:rsid w:val="48E01F28"/>
    <w:rsid w:val="48ED4C9B"/>
    <w:rsid w:val="48F1212A"/>
    <w:rsid w:val="49021549"/>
    <w:rsid w:val="494807A7"/>
    <w:rsid w:val="494C73DB"/>
    <w:rsid w:val="495E351F"/>
    <w:rsid w:val="496D09DF"/>
    <w:rsid w:val="4989333F"/>
    <w:rsid w:val="498D5E70"/>
    <w:rsid w:val="49920446"/>
    <w:rsid w:val="49A85EBB"/>
    <w:rsid w:val="49AC70F5"/>
    <w:rsid w:val="49BA11FB"/>
    <w:rsid w:val="49C64593"/>
    <w:rsid w:val="49D00F6E"/>
    <w:rsid w:val="49DB1F32"/>
    <w:rsid w:val="4A197D81"/>
    <w:rsid w:val="4A3D49EA"/>
    <w:rsid w:val="4A640C5E"/>
    <w:rsid w:val="4A69389D"/>
    <w:rsid w:val="4A7936AF"/>
    <w:rsid w:val="4A82670C"/>
    <w:rsid w:val="4A9459DD"/>
    <w:rsid w:val="4AB32D6A"/>
    <w:rsid w:val="4ADB7BCB"/>
    <w:rsid w:val="4AE92C11"/>
    <w:rsid w:val="4AFA62A3"/>
    <w:rsid w:val="4B1D01E3"/>
    <w:rsid w:val="4B3047BD"/>
    <w:rsid w:val="4B35377F"/>
    <w:rsid w:val="4B3E3E86"/>
    <w:rsid w:val="4B4B6897"/>
    <w:rsid w:val="4B69167A"/>
    <w:rsid w:val="4B6C12E7"/>
    <w:rsid w:val="4B9518B8"/>
    <w:rsid w:val="4B95246F"/>
    <w:rsid w:val="4BAC12E9"/>
    <w:rsid w:val="4BC04941"/>
    <w:rsid w:val="4BC27620"/>
    <w:rsid w:val="4BC526E1"/>
    <w:rsid w:val="4BC82FB8"/>
    <w:rsid w:val="4BCA329B"/>
    <w:rsid w:val="4BCD7E5B"/>
    <w:rsid w:val="4BCE772F"/>
    <w:rsid w:val="4BD20FCE"/>
    <w:rsid w:val="4BD525C4"/>
    <w:rsid w:val="4BDC009E"/>
    <w:rsid w:val="4BE7762B"/>
    <w:rsid w:val="4BF752D7"/>
    <w:rsid w:val="4BFF4671"/>
    <w:rsid w:val="4C082C41"/>
    <w:rsid w:val="4C140120"/>
    <w:rsid w:val="4C2537F3"/>
    <w:rsid w:val="4C2766A1"/>
    <w:rsid w:val="4C520360"/>
    <w:rsid w:val="4CC748AA"/>
    <w:rsid w:val="4CDE39A2"/>
    <w:rsid w:val="4CE216E4"/>
    <w:rsid w:val="4D121BEC"/>
    <w:rsid w:val="4D13022B"/>
    <w:rsid w:val="4D3320BF"/>
    <w:rsid w:val="4D433F1C"/>
    <w:rsid w:val="4D4F0058"/>
    <w:rsid w:val="4D5F0F87"/>
    <w:rsid w:val="4D706CF0"/>
    <w:rsid w:val="4D812783"/>
    <w:rsid w:val="4D8B4264"/>
    <w:rsid w:val="4D8D78A2"/>
    <w:rsid w:val="4DB1491E"/>
    <w:rsid w:val="4DDE53E2"/>
    <w:rsid w:val="4DEF40B9"/>
    <w:rsid w:val="4DF301A8"/>
    <w:rsid w:val="4E2467B1"/>
    <w:rsid w:val="4E354A96"/>
    <w:rsid w:val="4E3B5550"/>
    <w:rsid w:val="4E467A51"/>
    <w:rsid w:val="4E901197"/>
    <w:rsid w:val="4E944C60"/>
    <w:rsid w:val="4E962984"/>
    <w:rsid w:val="4ED137BE"/>
    <w:rsid w:val="4EEA4255"/>
    <w:rsid w:val="4F1813ED"/>
    <w:rsid w:val="4F2953A8"/>
    <w:rsid w:val="4F391364"/>
    <w:rsid w:val="4F473A81"/>
    <w:rsid w:val="4F6603AB"/>
    <w:rsid w:val="4F7F146C"/>
    <w:rsid w:val="4F7F76BE"/>
    <w:rsid w:val="4F876573"/>
    <w:rsid w:val="4F906525"/>
    <w:rsid w:val="4FBA3171"/>
    <w:rsid w:val="4FBE54BF"/>
    <w:rsid w:val="4FD70EA3"/>
    <w:rsid w:val="4FDF015D"/>
    <w:rsid w:val="4FE70DC0"/>
    <w:rsid w:val="4FF1781F"/>
    <w:rsid w:val="4FF64D31"/>
    <w:rsid w:val="50081462"/>
    <w:rsid w:val="502133E6"/>
    <w:rsid w:val="502426BC"/>
    <w:rsid w:val="50256815"/>
    <w:rsid w:val="50412BC6"/>
    <w:rsid w:val="50577CF3"/>
    <w:rsid w:val="506A5C79"/>
    <w:rsid w:val="50813882"/>
    <w:rsid w:val="50852AB2"/>
    <w:rsid w:val="50A228FD"/>
    <w:rsid w:val="50C3182D"/>
    <w:rsid w:val="50E772C9"/>
    <w:rsid w:val="50ED1B5C"/>
    <w:rsid w:val="50EE68AA"/>
    <w:rsid w:val="50F6750C"/>
    <w:rsid w:val="50FB2D75"/>
    <w:rsid w:val="5117655A"/>
    <w:rsid w:val="511B6F73"/>
    <w:rsid w:val="51305A64"/>
    <w:rsid w:val="51C54B6D"/>
    <w:rsid w:val="51E27A91"/>
    <w:rsid w:val="51ED57C6"/>
    <w:rsid w:val="52067C23"/>
    <w:rsid w:val="520C7C6E"/>
    <w:rsid w:val="522C66BD"/>
    <w:rsid w:val="52353E47"/>
    <w:rsid w:val="523A167B"/>
    <w:rsid w:val="524C5999"/>
    <w:rsid w:val="528154FB"/>
    <w:rsid w:val="52B753C1"/>
    <w:rsid w:val="52DE46FC"/>
    <w:rsid w:val="52E77A54"/>
    <w:rsid w:val="52F60580"/>
    <w:rsid w:val="530103EA"/>
    <w:rsid w:val="53032430"/>
    <w:rsid w:val="53034162"/>
    <w:rsid w:val="53397B84"/>
    <w:rsid w:val="533B7DA0"/>
    <w:rsid w:val="53455B6B"/>
    <w:rsid w:val="53487DC7"/>
    <w:rsid w:val="534F55FA"/>
    <w:rsid w:val="5354676C"/>
    <w:rsid w:val="537112C2"/>
    <w:rsid w:val="53862B7D"/>
    <w:rsid w:val="53952E76"/>
    <w:rsid w:val="53A97811"/>
    <w:rsid w:val="53CA4C80"/>
    <w:rsid w:val="53CB1B8E"/>
    <w:rsid w:val="53F80215"/>
    <w:rsid w:val="540964F7"/>
    <w:rsid w:val="540E1011"/>
    <w:rsid w:val="54210D44"/>
    <w:rsid w:val="543C16DA"/>
    <w:rsid w:val="543C5B7E"/>
    <w:rsid w:val="544760DA"/>
    <w:rsid w:val="544762D1"/>
    <w:rsid w:val="545C3B2A"/>
    <w:rsid w:val="545E7561"/>
    <w:rsid w:val="545F7ABE"/>
    <w:rsid w:val="546463D8"/>
    <w:rsid w:val="547D1862"/>
    <w:rsid w:val="549A4653"/>
    <w:rsid w:val="54A454D1"/>
    <w:rsid w:val="54C34DA4"/>
    <w:rsid w:val="54C53DC5"/>
    <w:rsid w:val="54C57762"/>
    <w:rsid w:val="54CD3B5E"/>
    <w:rsid w:val="54E66A4D"/>
    <w:rsid w:val="55006BAB"/>
    <w:rsid w:val="55072642"/>
    <w:rsid w:val="55083CB2"/>
    <w:rsid w:val="550C0F08"/>
    <w:rsid w:val="55326F81"/>
    <w:rsid w:val="553666AF"/>
    <w:rsid w:val="554A42CB"/>
    <w:rsid w:val="5552317F"/>
    <w:rsid w:val="55652CC8"/>
    <w:rsid w:val="556E1BAD"/>
    <w:rsid w:val="55944849"/>
    <w:rsid w:val="55CB487C"/>
    <w:rsid w:val="55F52488"/>
    <w:rsid w:val="561E419B"/>
    <w:rsid w:val="56293248"/>
    <w:rsid w:val="563B3BA0"/>
    <w:rsid w:val="56450569"/>
    <w:rsid w:val="56472E03"/>
    <w:rsid w:val="56787ABD"/>
    <w:rsid w:val="567F72B7"/>
    <w:rsid w:val="56BF1EFA"/>
    <w:rsid w:val="56C41E5B"/>
    <w:rsid w:val="56D4592B"/>
    <w:rsid w:val="56E04716"/>
    <w:rsid w:val="56F20B11"/>
    <w:rsid w:val="56F576A4"/>
    <w:rsid w:val="5705494D"/>
    <w:rsid w:val="57220D17"/>
    <w:rsid w:val="573C40E7"/>
    <w:rsid w:val="574D3BFE"/>
    <w:rsid w:val="5750701E"/>
    <w:rsid w:val="575F01D6"/>
    <w:rsid w:val="57601B83"/>
    <w:rsid w:val="57CF6D09"/>
    <w:rsid w:val="57DA69E8"/>
    <w:rsid w:val="57DD3C20"/>
    <w:rsid w:val="57F14ED1"/>
    <w:rsid w:val="57FD2705"/>
    <w:rsid w:val="58122CB8"/>
    <w:rsid w:val="58171609"/>
    <w:rsid w:val="58401759"/>
    <w:rsid w:val="58443D7F"/>
    <w:rsid w:val="585D2567"/>
    <w:rsid w:val="585D4315"/>
    <w:rsid w:val="588418A2"/>
    <w:rsid w:val="588E44CE"/>
    <w:rsid w:val="589E3A31"/>
    <w:rsid w:val="58A3441E"/>
    <w:rsid w:val="58AB02D9"/>
    <w:rsid w:val="58AB1524"/>
    <w:rsid w:val="58AC4E81"/>
    <w:rsid w:val="58D5034F"/>
    <w:rsid w:val="58DC16DE"/>
    <w:rsid w:val="58F4262D"/>
    <w:rsid w:val="590518A2"/>
    <w:rsid w:val="590E0D58"/>
    <w:rsid w:val="59170968"/>
    <w:rsid w:val="59613991"/>
    <w:rsid w:val="59620B8D"/>
    <w:rsid w:val="597162CA"/>
    <w:rsid w:val="597265D0"/>
    <w:rsid w:val="597E0ABE"/>
    <w:rsid w:val="59835A81"/>
    <w:rsid w:val="599259E9"/>
    <w:rsid w:val="59A246D5"/>
    <w:rsid w:val="59AA336E"/>
    <w:rsid w:val="59AE0184"/>
    <w:rsid w:val="59C81C62"/>
    <w:rsid w:val="59CF4A50"/>
    <w:rsid w:val="59DF76D7"/>
    <w:rsid w:val="59E47A03"/>
    <w:rsid w:val="59F1740B"/>
    <w:rsid w:val="5A0228E9"/>
    <w:rsid w:val="5A1924BD"/>
    <w:rsid w:val="5A1E20C2"/>
    <w:rsid w:val="5A2454F1"/>
    <w:rsid w:val="5A2E7D17"/>
    <w:rsid w:val="5A333959"/>
    <w:rsid w:val="5A454347"/>
    <w:rsid w:val="5A523DF6"/>
    <w:rsid w:val="5A5F25C6"/>
    <w:rsid w:val="5A6E2809"/>
    <w:rsid w:val="5A70032F"/>
    <w:rsid w:val="5A7B0A82"/>
    <w:rsid w:val="5A8451AD"/>
    <w:rsid w:val="5AA1498D"/>
    <w:rsid w:val="5AA560E7"/>
    <w:rsid w:val="5AAB2F84"/>
    <w:rsid w:val="5AB442DD"/>
    <w:rsid w:val="5ADD34EB"/>
    <w:rsid w:val="5AE2161F"/>
    <w:rsid w:val="5AE774EE"/>
    <w:rsid w:val="5AFC1B55"/>
    <w:rsid w:val="5B2555BE"/>
    <w:rsid w:val="5B321A89"/>
    <w:rsid w:val="5B3955DB"/>
    <w:rsid w:val="5B410F66"/>
    <w:rsid w:val="5B4B66A7"/>
    <w:rsid w:val="5B532FBD"/>
    <w:rsid w:val="5B5B4BC0"/>
    <w:rsid w:val="5B78225F"/>
    <w:rsid w:val="5B7B51DE"/>
    <w:rsid w:val="5B865931"/>
    <w:rsid w:val="5B8816A9"/>
    <w:rsid w:val="5B9908FC"/>
    <w:rsid w:val="5B9A792E"/>
    <w:rsid w:val="5BB8428A"/>
    <w:rsid w:val="5BBB1A7E"/>
    <w:rsid w:val="5BDE35EC"/>
    <w:rsid w:val="5BEB2FB6"/>
    <w:rsid w:val="5BF31218"/>
    <w:rsid w:val="5BFE196B"/>
    <w:rsid w:val="5C066B61"/>
    <w:rsid w:val="5C225659"/>
    <w:rsid w:val="5C237623"/>
    <w:rsid w:val="5C294C3A"/>
    <w:rsid w:val="5C4A2E02"/>
    <w:rsid w:val="5C4F0418"/>
    <w:rsid w:val="5C5D7B6B"/>
    <w:rsid w:val="5C5E5642"/>
    <w:rsid w:val="5C6A7000"/>
    <w:rsid w:val="5C734F71"/>
    <w:rsid w:val="5C763BF7"/>
    <w:rsid w:val="5C910A31"/>
    <w:rsid w:val="5C98591B"/>
    <w:rsid w:val="5CA644DC"/>
    <w:rsid w:val="5CAA564F"/>
    <w:rsid w:val="5CBF734C"/>
    <w:rsid w:val="5CC901CB"/>
    <w:rsid w:val="5CEB6393"/>
    <w:rsid w:val="5CF42AE4"/>
    <w:rsid w:val="5D0A162E"/>
    <w:rsid w:val="5D2E002E"/>
    <w:rsid w:val="5D326E91"/>
    <w:rsid w:val="5D3A04BC"/>
    <w:rsid w:val="5D6B0D48"/>
    <w:rsid w:val="5D79399F"/>
    <w:rsid w:val="5DBA4EB4"/>
    <w:rsid w:val="5DD41735"/>
    <w:rsid w:val="5DEF61CF"/>
    <w:rsid w:val="5E075832"/>
    <w:rsid w:val="5E082F75"/>
    <w:rsid w:val="5E1132C7"/>
    <w:rsid w:val="5E1B6804"/>
    <w:rsid w:val="5E481F0B"/>
    <w:rsid w:val="5E483371"/>
    <w:rsid w:val="5E491E46"/>
    <w:rsid w:val="5E4D6DF5"/>
    <w:rsid w:val="5E4D75CC"/>
    <w:rsid w:val="5E551CFB"/>
    <w:rsid w:val="5E6847CD"/>
    <w:rsid w:val="5E6A32E8"/>
    <w:rsid w:val="5E797426"/>
    <w:rsid w:val="5E85607C"/>
    <w:rsid w:val="5E8C325E"/>
    <w:rsid w:val="5E9023F9"/>
    <w:rsid w:val="5E916AC6"/>
    <w:rsid w:val="5EA26F25"/>
    <w:rsid w:val="5EB87A15"/>
    <w:rsid w:val="5EBA426F"/>
    <w:rsid w:val="5EBA601D"/>
    <w:rsid w:val="5EBF161C"/>
    <w:rsid w:val="5F337B7D"/>
    <w:rsid w:val="5F433EA1"/>
    <w:rsid w:val="5F496ACF"/>
    <w:rsid w:val="5F553F98"/>
    <w:rsid w:val="5F577D10"/>
    <w:rsid w:val="5F5B06F8"/>
    <w:rsid w:val="5F602F8F"/>
    <w:rsid w:val="5F604FDB"/>
    <w:rsid w:val="5F772160"/>
    <w:rsid w:val="5F7732B7"/>
    <w:rsid w:val="5F97010C"/>
    <w:rsid w:val="5F9E096A"/>
    <w:rsid w:val="5FB32B8A"/>
    <w:rsid w:val="5FDA449D"/>
    <w:rsid w:val="600945C0"/>
    <w:rsid w:val="602A3CB7"/>
    <w:rsid w:val="605A77CA"/>
    <w:rsid w:val="608210E3"/>
    <w:rsid w:val="609D68A3"/>
    <w:rsid w:val="60A36E6D"/>
    <w:rsid w:val="60AE16E0"/>
    <w:rsid w:val="60B54885"/>
    <w:rsid w:val="60C260A3"/>
    <w:rsid w:val="60C41DA0"/>
    <w:rsid w:val="60CF0FFA"/>
    <w:rsid w:val="60CF38EE"/>
    <w:rsid w:val="60EB4BB4"/>
    <w:rsid w:val="60FB0B6F"/>
    <w:rsid w:val="610D259D"/>
    <w:rsid w:val="612C1D2D"/>
    <w:rsid w:val="612E55A2"/>
    <w:rsid w:val="6166423A"/>
    <w:rsid w:val="61803709"/>
    <w:rsid w:val="6188581C"/>
    <w:rsid w:val="619F4F57"/>
    <w:rsid w:val="61B23C73"/>
    <w:rsid w:val="61BD7BD2"/>
    <w:rsid w:val="61C55405"/>
    <w:rsid w:val="61D25C29"/>
    <w:rsid w:val="61DC2DC0"/>
    <w:rsid w:val="62051CA5"/>
    <w:rsid w:val="621B3277"/>
    <w:rsid w:val="623C7AB6"/>
    <w:rsid w:val="624C78D4"/>
    <w:rsid w:val="62522A10"/>
    <w:rsid w:val="62571DD5"/>
    <w:rsid w:val="625C73EB"/>
    <w:rsid w:val="62614A02"/>
    <w:rsid w:val="62676C1B"/>
    <w:rsid w:val="627B4140"/>
    <w:rsid w:val="628966B6"/>
    <w:rsid w:val="628B7295"/>
    <w:rsid w:val="629A1EA8"/>
    <w:rsid w:val="62B6550F"/>
    <w:rsid w:val="62B92A90"/>
    <w:rsid w:val="62BF6826"/>
    <w:rsid w:val="62C86475"/>
    <w:rsid w:val="62CA07F9"/>
    <w:rsid w:val="62CF5E0F"/>
    <w:rsid w:val="630675AA"/>
    <w:rsid w:val="63161C90"/>
    <w:rsid w:val="632653D0"/>
    <w:rsid w:val="63371FFB"/>
    <w:rsid w:val="6338115C"/>
    <w:rsid w:val="63700F56"/>
    <w:rsid w:val="6379138E"/>
    <w:rsid w:val="639C03E7"/>
    <w:rsid w:val="63B74683"/>
    <w:rsid w:val="63CD67F3"/>
    <w:rsid w:val="63CE6D95"/>
    <w:rsid w:val="64065861"/>
    <w:rsid w:val="641D1050"/>
    <w:rsid w:val="642B176B"/>
    <w:rsid w:val="643C1282"/>
    <w:rsid w:val="646A7B3B"/>
    <w:rsid w:val="64992B79"/>
    <w:rsid w:val="64AC6408"/>
    <w:rsid w:val="64C933FD"/>
    <w:rsid w:val="64CA6FED"/>
    <w:rsid w:val="64DD79D3"/>
    <w:rsid w:val="64E542CC"/>
    <w:rsid w:val="64E57B6C"/>
    <w:rsid w:val="64E77440"/>
    <w:rsid w:val="64E82CD5"/>
    <w:rsid w:val="64E87A44"/>
    <w:rsid w:val="64F63B27"/>
    <w:rsid w:val="65035D81"/>
    <w:rsid w:val="65167D25"/>
    <w:rsid w:val="651B533C"/>
    <w:rsid w:val="65231FBA"/>
    <w:rsid w:val="65240A92"/>
    <w:rsid w:val="654523B9"/>
    <w:rsid w:val="65534AD5"/>
    <w:rsid w:val="655748CB"/>
    <w:rsid w:val="65582CDC"/>
    <w:rsid w:val="655A0B79"/>
    <w:rsid w:val="655C21CA"/>
    <w:rsid w:val="655D5FF8"/>
    <w:rsid w:val="655F7E8B"/>
    <w:rsid w:val="657774A0"/>
    <w:rsid w:val="658E3D60"/>
    <w:rsid w:val="659155FE"/>
    <w:rsid w:val="65933254"/>
    <w:rsid w:val="65984BDE"/>
    <w:rsid w:val="65AD2209"/>
    <w:rsid w:val="65C634F9"/>
    <w:rsid w:val="65D53775"/>
    <w:rsid w:val="65E16585"/>
    <w:rsid w:val="65E6427A"/>
    <w:rsid w:val="65F067C8"/>
    <w:rsid w:val="65FE7137"/>
    <w:rsid w:val="660B1854"/>
    <w:rsid w:val="663D3CCC"/>
    <w:rsid w:val="66403007"/>
    <w:rsid w:val="6648453A"/>
    <w:rsid w:val="66611474"/>
    <w:rsid w:val="666F3B91"/>
    <w:rsid w:val="66895D19"/>
    <w:rsid w:val="669A1E40"/>
    <w:rsid w:val="669A79ED"/>
    <w:rsid w:val="669B6734"/>
    <w:rsid w:val="66FA3500"/>
    <w:rsid w:val="670D6F06"/>
    <w:rsid w:val="670F7122"/>
    <w:rsid w:val="67185FD7"/>
    <w:rsid w:val="67317098"/>
    <w:rsid w:val="673402AE"/>
    <w:rsid w:val="67384FAC"/>
    <w:rsid w:val="67615D14"/>
    <w:rsid w:val="676242DB"/>
    <w:rsid w:val="67706026"/>
    <w:rsid w:val="679715F1"/>
    <w:rsid w:val="67A849E7"/>
    <w:rsid w:val="67DC5256"/>
    <w:rsid w:val="68190258"/>
    <w:rsid w:val="6832131A"/>
    <w:rsid w:val="68464DC5"/>
    <w:rsid w:val="684C339D"/>
    <w:rsid w:val="686E688B"/>
    <w:rsid w:val="687E00BB"/>
    <w:rsid w:val="688F051A"/>
    <w:rsid w:val="68AC1B24"/>
    <w:rsid w:val="68B25778"/>
    <w:rsid w:val="68D502C2"/>
    <w:rsid w:val="68DD545C"/>
    <w:rsid w:val="68ED5241"/>
    <w:rsid w:val="68FC59A2"/>
    <w:rsid w:val="69054339"/>
    <w:rsid w:val="690E7D89"/>
    <w:rsid w:val="69126A56"/>
    <w:rsid w:val="693370F8"/>
    <w:rsid w:val="696A4AE4"/>
    <w:rsid w:val="69717C20"/>
    <w:rsid w:val="69842E6C"/>
    <w:rsid w:val="6997737A"/>
    <w:rsid w:val="69C45BAC"/>
    <w:rsid w:val="69C53AC8"/>
    <w:rsid w:val="69D52D09"/>
    <w:rsid w:val="69EF1796"/>
    <w:rsid w:val="6A074D00"/>
    <w:rsid w:val="6A144D2F"/>
    <w:rsid w:val="6A222CC8"/>
    <w:rsid w:val="6A3C1FDC"/>
    <w:rsid w:val="6A4175F2"/>
    <w:rsid w:val="6A4E7F61"/>
    <w:rsid w:val="6A5E460A"/>
    <w:rsid w:val="6A5F5CCB"/>
    <w:rsid w:val="6A646982"/>
    <w:rsid w:val="6A707ED8"/>
    <w:rsid w:val="6A7C687C"/>
    <w:rsid w:val="6A815C41"/>
    <w:rsid w:val="6A941E18"/>
    <w:rsid w:val="6A9D1F6A"/>
    <w:rsid w:val="6AA45DD3"/>
    <w:rsid w:val="6AA93A02"/>
    <w:rsid w:val="6AB022A4"/>
    <w:rsid w:val="6ABA231B"/>
    <w:rsid w:val="6ABC62D1"/>
    <w:rsid w:val="6AC00E5F"/>
    <w:rsid w:val="6AC37FB5"/>
    <w:rsid w:val="6AC42E49"/>
    <w:rsid w:val="6AD2649C"/>
    <w:rsid w:val="6AD730FA"/>
    <w:rsid w:val="6AE129B9"/>
    <w:rsid w:val="6AE35D56"/>
    <w:rsid w:val="6AE82164"/>
    <w:rsid w:val="6B0E366E"/>
    <w:rsid w:val="6B5B46E4"/>
    <w:rsid w:val="6B9805DE"/>
    <w:rsid w:val="6B981494"/>
    <w:rsid w:val="6B9A4952"/>
    <w:rsid w:val="6B9E0A74"/>
    <w:rsid w:val="6BAE6CB9"/>
    <w:rsid w:val="6BCC3159"/>
    <w:rsid w:val="6BFB1A23"/>
    <w:rsid w:val="6C134FBF"/>
    <w:rsid w:val="6C15456E"/>
    <w:rsid w:val="6C264CF2"/>
    <w:rsid w:val="6C3513D9"/>
    <w:rsid w:val="6C847C6A"/>
    <w:rsid w:val="6C8C6B1F"/>
    <w:rsid w:val="6CB22A29"/>
    <w:rsid w:val="6CBC55D5"/>
    <w:rsid w:val="6CBD0D9F"/>
    <w:rsid w:val="6CBE6C34"/>
    <w:rsid w:val="6CD85D42"/>
    <w:rsid w:val="6CDD437B"/>
    <w:rsid w:val="6CE630B1"/>
    <w:rsid w:val="6D0B3FAA"/>
    <w:rsid w:val="6D3C0545"/>
    <w:rsid w:val="6D3E42BD"/>
    <w:rsid w:val="6D8C327A"/>
    <w:rsid w:val="6DE611E8"/>
    <w:rsid w:val="6DE72F19"/>
    <w:rsid w:val="6E2056EF"/>
    <w:rsid w:val="6E241705"/>
    <w:rsid w:val="6E3B07FD"/>
    <w:rsid w:val="6E407BC1"/>
    <w:rsid w:val="6E6E472E"/>
    <w:rsid w:val="6EA77C40"/>
    <w:rsid w:val="6EBC13EB"/>
    <w:rsid w:val="6EC947F1"/>
    <w:rsid w:val="6EDC5B3C"/>
    <w:rsid w:val="6EF74444"/>
    <w:rsid w:val="6EFE1F56"/>
    <w:rsid w:val="6F052E4D"/>
    <w:rsid w:val="6F084B83"/>
    <w:rsid w:val="6F1572A0"/>
    <w:rsid w:val="6F347726"/>
    <w:rsid w:val="6F6F4C02"/>
    <w:rsid w:val="6F8F403F"/>
    <w:rsid w:val="6F931BBB"/>
    <w:rsid w:val="6F9F7EFF"/>
    <w:rsid w:val="6FB62831"/>
    <w:rsid w:val="6FBD288E"/>
    <w:rsid w:val="6FC41D71"/>
    <w:rsid w:val="6FC52A74"/>
    <w:rsid w:val="6FE94CCB"/>
    <w:rsid w:val="6FFE5F86"/>
    <w:rsid w:val="6FFF736D"/>
    <w:rsid w:val="702A28D7"/>
    <w:rsid w:val="703419A7"/>
    <w:rsid w:val="703A12FE"/>
    <w:rsid w:val="703D5142"/>
    <w:rsid w:val="704808A1"/>
    <w:rsid w:val="704A1A1C"/>
    <w:rsid w:val="704A511B"/>
    <w:rsid w:val="705C33D8"/>
    <w:rsid w:val="706946DD"/>
    <w:rsid w:val="706D76F8"/>
    <w:rsid w:val="706E310B"/>
    <w:rsid w:val="70710506"/>
    <w:rsid w:val="70735B3A"/>
    <w:rsid w:val="707D334E"/>
    <w:rsid w:val="707F055D"/>
    <w:rsid w:val="70861344"/>
    <w:rsid w:val="7088587A"/>
    <w:rsid w:val="708D7BB8"/>
    <w:rsid w:val="70C20D61"/>
    <w:rsid w:val="70C64CF5"/>
    <w:rsid w:val="70CE295A"/>
    <w:rsid w:val="70ED510D"/>
    <w:rsid w:val="70EF5890"/>
    <w:rsid w:val="70F92A2E"/>
    <w:rsid w:val="70FC31F7"/>
    <w:rsid w:val="71035C4A"/>
    <w:rsid w:val="71071E29"/>
    <w:rsid w:val="714E7C4B"/>
    <w:rsid w:val="71A4093C"/>
    <w:rsid w:val="71E323B9"/>
    <w:rsid w:val="71E557A3"/>
    <w:rsid w:val="720260A7"/>
    <w:rsid w:val="720D425E"/>
    <w:rsid w:val="721675B7"/>
    <w:rsid w:val="72245AA8"/>
    <w:rsid w:val="72336AEC"/>
    <w:rsid w:val="724361A2"/>
    <w:rsid w:val="724F61E7"/>
    <w:rsid w:val="72514A93"/>
    <w:rsid w:val="725D6F93"/>
    <w:rsid w:val="72646C38"/>
    <w:rsid w:val="72751DD3"/>
    <w:rsid w:val="72BB33AE"/>
    <w:rsid w:val="72D30A0B"/>
    <w:rsid w:val="72D322B0"/>
    <w:rsid w:val="731358A4"/>
    <w:rsid w:val="731D1212"/>
    <w:rsid w:val="731D6361"/>
    <w:rsid w:val="73262586"/>
    <w:rsid w:val="73384C9B"/>
    <w:rsid w:val="73487EF4"/>
    <w:rsid w:val="73506AF8"/>
    <w:rsid w:val="73577E87"/>
    <w:rsid w:val="73726A6F"/>
    <w:rsid w:val="737A4969"/>
    <w:rsid w:val="739362BE"/>
    <w:rsid w:val="739A4D06"/>
    <w:rsid w:val="73B2239B"/>
    <w:rsid w:val="73CF5C6F"/>
    <w:rsid w:val="73FE2711"/>
    <w:rsid w:val="74044B3E"/>
    <w:rsid w:val="74130D0E"/>
    <w:rsid w:val="742721BB"/>
    <w:rsid w:val="742D4A14"/>
    <w:rsid w:val="743B0E6B"/>
    <w:rsid w:val="744F0B5E"/>
    <w:rsid w:val="74643C02"/>
    <w:rsid w:val="74821AEF"/>
    <w:rsid w:val="74842EFD"/>
    <w:rsid w:val="74AA4102"/>
    <w:rsid w:val="74CA2F08"/>
    <w:rsid w:val="74D6302D"/>
    <w:rsid w:val="74F17E67"/>
    <w:rsid w:val="75267B11"/>
    <w:rsid w:val="75306BE1"/>
    <w:rsid w:val="755C0CA5"/>
    <w:rsid w:val="757A607F"/>
    <w:rsid w:val="757D16FB"/>
    <w:rsid w:val="757F383B"/>
    <w:rsid w:val="75A31161"/>
    <w:rsid w:val="75A86778"/>
    <w:rsid w:val="75C07B2A"/>
    <w:rsid w:val="75C15A8B"/>
    <w:rsid w:val="75DA08FB"/>
    <w:rsid w:val="75DC4673"/>
    <w:rsid w:val="75E672A0"/>
    <w:rsid w:val="75FC6AC3"/>
    <w:rsid w:val="761C7166"/>
    <w:rsid w:val="762A53DF"/>
    <w:rsid w:val="7641372B"/>
    <w:rsid w:val="765468FF"/>
    <w:rsid w:val="766116D1"/>
    <w:rsid w:val="766A14E2"/>
    <w:rsid w:val="768354EF"/>
    <w:rsid w:val="76896192"/>
    <w:rsid w:val="768E0063"/>
    <w:rsid w:val="769421B7"/>
    <w:rsid w:val="76997909"/>
    <w:rsid w:val="76A74C81"/>
    <w:rsid w:val="76AE0369"/>
    <w:rsid w:val="76B455F0"/>
    <w:rsid w:val="76B4739E"/>
    <w:rsid w:val="76C70E7F"/>
    <w:rsid w:val="76CE0EBB"/>
    <w:rsid w:val="76CF6CCA"/>
    <w:rsid w:val="76D637B8"/>
    <w:rsid w:val="76E5256D"/>
    <w:rsid w:val="76F80E54"/>
    <w:rsid w:val="77193CE7"/>
    <w:rsid w:val="775A1CF3"/>
    <w:rsid w:val="777A3AF4"/>
    <w:rsid w:val="7799050D"/>
    <w:rsid w:val="77B238DE"/>
    <w:rsid w:val="77C11D73"/>
    <w:rsid w:val="77C36889"/>
    <w:rsid w:val="77C74EAF"/>
    <w:rsid w:val="77D72860"/>
    <w:rsid w:val="77F71C38"/>
    <w:rsid w:val="77F9150C"/>
    <w:rsid w:val="78174517"/>
    <w:rsid w:val="7818125E"/>
    <w:rsid w:val="781C3A04"/>
    <w:rsid w:val="781E5417"/>
    <w:rsid w:val="782B18E2"/>
    <w:rsid w:val="78301DD6"/>
    <w:rsid w:val="78461FEC"/>
    <w:rsid w:val="784E3892"/>
    <w:rsid w:val="785B6077"/>
    <w:rsid w:val="78743289"/>
    <w:rsid w:val="78794044"/>
    <w:rsid w:val="787E5EB6"/>
    <w:rsid w:val="7892370F"/>
    <w:rsid w:val="78BD1DA5"/>
    <w:rsid w:val="78D534A2"/>
    <w:rsid w:val="78E164AD"/>
    <w:rsid w:val="78E660F0"/>
    <w:rsid w:val="78FB77C6"/>
    <w:rsid w:val="79085C69"/>
    <w:rsid w:val="79523109"/>
    <w:rsid w:val="79533C02"/>
    <w:rsid w:val="795D1F6F"/>
    <w:rsid w:val="795D2923"/>
    <w:rsid w:val="797D58C8"/>
    <w:rsid w:val="79894B12"/>
    <w:rsid w:val="79A27982"/>
    <w:rsid w:val="79B53B59"/>
    <w:rsid w:val="79BD09A7"/>
    <w:rsid w:val="79C45B4A"/>
    <w:rsid w:val="79C71D59"/>
    <w:rsid w:val="79DF38B7"/>
    <w:rsid w:val="79F75A6F"/>
    <w:rsid w:val="79FA2B6C"/>
    <w:rsid w:val="7A056F17"/>
    <w:rsid w:val="7A2B7977"/>
    <w:rsid w:val="7A3C7DD6"/>
    <w:rsid w:val="7A5D6687"/>
    <w:rsid w:val="7A5D770C"/>
    <w:rsid w:val="7A785C01"/>
    <w:rsid w:val="7A8D586D"/>
    <w:rsid w:val="7AAC38EB"/>
    <w:rsid w:val="7AB12572"/>
    <w:rsid w:val="7AC676A0"/>
    <w:rsid w:val="7AD613AC"/>
    <w:rsid w:val="7AFF0C42"/>
    <w:rsid w:val="7B042559"/>
    <w:rsid w:val="7B14665D"/>
    <w:rsid w:val="7B28621F"/>
    <w:rsid w:val="7B315461"/>
    <w:rsid w:val="7B3D5BB4"/>
    <w:rsid w:val="7B407452"/>
    <w:rsid w:val="7B434F3C"/>
    <w:rsid w:val="7B4510DC"/>
    <w:rsid w:val="7B4927AB"/>
    <w:rsid w:val="7B537AD4"/>
    <w:rsid w:val="7B607AF4"/>
    <w:rsid w:val="7B6C0039"/>
    <w:rsid w:val="7B7517F2"/>
    <w:rsid w:val="7BA14395"/>
    <w:rsid w:val="7BB87930"/>
    <w:rsid w:val="7BC9569A"/>
    <w:rsid w:val="7BE221B2"/>
    <w:rsid w:val="7C1C7EBF"/>
    <w:rsid w:val="7C2E19A1"/>
    <w:rsid w:val="7C34481A"/>
    <w:rsid w:val="7C991510"/>
    <w:rsid w:val="7CBC6FAC"/>
    <w:rsid w:val="7CBD0DB4"/>
    <w:rsid w:val="7CC145C3"/>
    <w:rsid w:val="7CE0713F"/>
    <w:rsid w:val="7D0270B5"/>
    <w:rsid w:val="7D047100"/>
    <w:rsid w:val="7D0C7F34"/>
    <w:rsid w:val="7D23702C"/>
    <w:rsid w:val="7D2A5EF8"/>
    <w:rsid w:val="7D3B48CE"/>
    <w:rsid w:val="7D3F3783"/>
    <w:rsid w:val="7D432E29"/>
    <w:rsid w:val="7D7F2115"/>
    <w:rsid w:val="7DBE393E"/>
    <w:rsid w:val="7DC91981"/>
    <w:rsid w:val="7DCB0A32"/>
    <w:rsid w:val="7DDA3B8E"/>
    <w:rsid w:val="7DE1316F"/>
    <w:rsid w:val="7DE93DD1"/>
    <w:rsid w:val="7DFD2E32"/>
    <w:rsid w:val="7DFF35F5"/>
    <w:rsid w:val="7E1D3A7B"/>
    <w:rsid w:val="7E1E53EE"/>
    <w:rsid w:val="7E417769"/>
    <w:rsid w:val="7E4A79A7"/>
    <w:rsid w:val="7E505BFE"/>
    <w:rsid w:val="7E5C0773"/>
    <w:rsid w:val="7E61646B"/>
    <w:rsid w:val="7E7318ED"/>
    <w:rsid w:val="7E7E6CD0"/>
    <w:rsid w:val="7E8B6838"/>
    <w:rsid w:val="7E8C1345"/>
    <w:rsid w:val="7E9A50CB"/>
    <w:rsid w:val="7E9C52E7"/>
    <w:rsid w:val="7EF742CC"/>
    <w:rsid w:val="7F0D3AEF"/>
    <w:rsid w:val="7F6E20D9"/>
    <w:rsid w:val="7F6F17AE"/>
    <w:rsid w:val="7F7E49ED"/>
    <w:rsid w:val="7F893525"/>
    <w:rsid w:val="7F97153B"/>
    <w:rsid w:val="7FA26CDE"/>
    <w:rsid w:val="7FC62FBC"/>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name="Salutation"/>
    <w:lsdException w:qFormat="1" w:uiPriority="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semiHidden="0" w:name="Body Text Indent 3"/>
    <w:lsdException w:qFormat="1"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1"/>
    <w:qFormat/>
    <w:uiPriority w:val="0"/>
    <w:pPr>
      <w:keepNext/>
      <w:jc w:val="center"/>
      <w:outlineLvl w:val="0"/>
    </w:pPr>
    <w:rPr>
      <w:b/>
      <w:bCs/>
      <w:sz w:val="24"/>
      <w:szCs w:val="20"/>
    </w:rPr>
  </w:style>
  <w:style w:type="paragraph" w:styleId="3">
    <w:name w:val="heading 2"/>
    <w:basedOn w:val="1"/>
    <w:next w:val="1"/>
    <w:link w:val="197"/>
    <w:semiHidden/>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94"/>
    <w:semiHidden/>
    <w:unhideWhenUsed/>
    <w:qFormat/>
    <w:uiPriority w:val="0"/>
    <w:pPr>
      <w:keepNext/>
      <w:keepLines/>
      <w:spacing w:before="260" w:after="260" w:line="415" w:lineRule="auto"/>
      <w:outlineLvl w:val="2"/>
    </w:pPr>
    <w:rPr>
      <w:b/>
      <w:bCs/>
      <w:sz w:val="32"/>
      <w:szCs w:val="32"/>
    </w:rPr>
  </w:style>
  <w:style w:type="paragraph" w:styleId="5">
    <w:name w:val="heading 4"/>
    <w:basedOn w:val="1"/>
    <w:next w:val="1"/>
    <w:link w:val="250"/>
    <w:semiHidden/>
    <w:unhideWhenUsed/>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254"/>
    <w:semiHidden/>
    <w:unhideWhenUsed/>
    <w:qFormat/>
    <w:uiPriority w:val="0"/>
    <w:pPr>
      <w:keepNext/>
      <w:keepLines/>
      <w:adjustRightInd w:val="0"/>
      <w:spacing w:before="280" w:after="290" w:line="376" w:lineRule="atLeast"/>
      <w:jc w:val="left"/>
      <w:outlineLvl w:val="4"/>
    </w:pPr>
    <w:rPr>
      <w:b/>
      <w:bCs/>
      <w:kern w:val="0"/>
      <w:sz w:val="28"/>
      <w:szCs w:val="28"/>
    </w:rPr>
  </w:style>
  <w:style w:type="paragraph" w:styleId="7">
    <w:name w:val="heading 6"/>
    <w:basedOn w:val="1"/>
    <w:next w:val="1"/>
    <w:link w:val="238"/>
    <w:semiHidden/>
    <w:unhideWhenUsed/>
    <w:qFormat/>
    <w:uiPriority w:val="0"/>
    <w:pPr>
      <w:keepNext/>
      <w:keepLines/>
      <w:adjustRightInd w:val="0"/>
      <w:spacing w:before="240" w:after="64" w:line="320" w:lineRule="atLeast"/>
      <w:jc w:val="left"/>
      <w:outlineLvl w:val="5"/>
    </w:pPr>
    <w:rPr>
      <w:rFonts w:ascii="Arial" w:hAnsi="Arial" w:eastAsia="黑体"/>
      <w:b/>
      <w:bCs/>
      <w:kern w:val="0"/>
      <w:sz w:val="24"/>
    </w:rPr>
  </w:style>
  <w:style w:type="paragraph" w:styleId="8">
    <w:name w:val="heading 7"/>
    <w:basedOn w:val="1"/>
    <w:next w:val="1"/>
    <w:link w:val="217"/>
    <w:semiHidden/>
    <w:unhideWhenUsed/>
    <w:qFormat/>
    <w:uiPriority w:val="0"/>
    <w:pPr>
      <w:keepNext/>
      <w:keepLines/>
      <w:adjustRightInd w:val="0"/>
      <w:spacing w:before="240" w:after="64" w:line="320" w:lineRule="atLeast"/>
      <w:jc w:val="left"/>
      <w:outlineLvl w:val="6"/>
    </w:pPr>
    <w:rPr>
      <w:b/>
      <w:bCs/>
      <w:kern w:val="0"/>
      <w:sz w:val="24"/>
    </w:rPr>
  </w:style>
  <w:style w:type="paragraph" w:styleId="9">
    <w:name w:val="heading 8"/>
    <w:basedOn w:val="1"/>
    <w:next w:val="1"/>
    <w:link w:val="252"/>
    <w:semiHidden/>
    <w:unhideWhenUsed/>
    <w:qFormat/>
    <w:uiPriority w:val="0"/>
    <w:pPr>
      <w:keepNext/>
      <w:keepLines/>
      <w:adjustRightInd w:val="0"/>
      <w:spacing w:before="240" w:after="64" w:line="320" w:lineRule="atLeast"/>
      <w:jc w:val="left"/>
      <w:outlineLvl w:val="7"/>
    </w:pPr>
    <w:rPr>
      <w:rFonts w:ascii="Arial" w:hAnsi="Arial" w:eastAsia="黑体"/>
      <w:kern w:val="0"/>
      <w:sz w:val="24"/>
    </w:rPr>
  </w:style>
  <w:style w:type="paragraph" w:styleId="10">
    <w:name w:val="heading 9"/>
    <w:basedOn w:val="1"/>
    <w:next w:val="1"/>
    <w:link w:val="261"/>
    <w:semiHidden/>
    <w:unhideWhenUsed/>
    <w:qFormat/>
    <w:uiPriority w:val="0"/>
    <w:pPr>
      <w:keepNext/>
      <w:keepLines/>
      <w:adjustRightInd w:val="0"/>
      <w:spacing w:before="240" w:after="64" w:line="320" w:lineRule="atLeast"/>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semiHidden/>
    <w:unhideWhenUsed/>
    <w:qFormat/>
    <w:uiPriority w:val="0"/>
    <w:pPr>
      <w:ind w:left="2520" w:leftChars="1200"/>
    </w:pPr>
    <w:rPr>
      <w:rFonts w:ascii="Calibri" w:hAnsi="Calibri"/>
      <w:szCs w:val="22"/>
    </w:rPr>
  </w:style>
  <w:style w:type="paragraph" w:styleId="12">
    <w:name w:val="Normal Indent"/>
    <w:basedOn w:val="1"/>
    <w:semiHidden/>
    <w:unhideWhenUsed/>
    <w:qFormat/>
    <w:uiPriority w:val="0"/>
    <w:pPr>
      <w:widowControl/>
      <w:ind w:firstLine="420"/>
      <w:jc w:val="left"/>
    </w:pPr>
    <w:rPr>
      <w:kern w:val="0"/>
      <w:sz w:val="20"/>
      <w:szCs w:val="20"/>
    </w:rPr>
  </w:style>
  <w:style w:type="paragraph" w:styleId="13">
    <w:name w:val="Document Map"/>
    <w:basedOn w:val="1"/>
    <w:link w:val="87"/>
    <w:semiHidden/>
    <w:unhideWhenUsed/>
    <w:qFormat/>
    <w:uiPriority w:val="0"/>
    <w:pPr>
      <w:shd w:val="clear" w:color="auto" w:fill="000080"/>
    </w:pPr>
  </w:style>
  <w:style w:type="paragraph" w:styleId="14">
    <w:name w:val="annotation text"/>
    <w:basedOn w:val="1"/>
    <w:link w:val="275"/>
    <w:semiHidden/>
    <w:unhideWhenUsed/>
    <w:qFormat/>
    <w:uiPriority w:val="0"/>
    <w:pPr>
      <w:jc w:val="left"/>
    </w:pPr>
  </w:style>
  <w:style w:type="paragraph" w:styleId="15">
    <w:name w:val="Salutation"/>
    <w:basedOn w:val="1"/>
    <w:next w:val="1"/>
    <w:link w:val="81"/>
    <w:semiHidden/>
    <w:unhideWhenUsed/>
    <w:qFormat/>
    <w:uiPriority w:val="0"/>
    <w:rPr>
      <w:rFonts w:ascii="仿宋_GB2312" w:eastAsia="仿宋_GB2312"/>
      <w:sz w:val="24"/>
    </w:rPr>
  </w:style>
  <w:style w:type="paragraph" w:styleId="16">
    <w:name w:val="Body Text 3"/>
    <w:basedOn w:val="1"/>
    <w:link w:val="84"/>
    <w:semiHidden/>
    <w:unhideWhenUsed/>
    <w:qFormat/>
    <w:uiPriority w:val="0"/>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link w:val="79"/>
    <w:unhideWhenUsed/>
    <w:qFormat/>
    <w:uiPriority w:val="0"/>
    <w:pPr>
      <w:spacing w:after="120"/>
    </w:pPr>
  </w:style>
  <w:style w:type="paragraph" w:styleId="18">
    <w:name w:val="Body Text Indent"/>
    <w:basedOn w:val="1"/>
    <w:link w:val="80"/>
    <w:semiHidden/>
    <w:unhideWhenUsed/>
    <w:qFormat/>
    <w:uiPriority w:val="0"/>
    <w:pPr>
      <w:spacing w:after="120"/>
      <w:ind w:left="420" w:leftChars="200"/>
    </w:pPr>
  </w:style>
  <w:style w:type="paragraph" w:styleId="19">
    <w:name w:val="Block Text"/>
    <w:basedOn w:val="1"/>
    <w:semiHidden/>
    <w:unhideWhenUsed/>
    <w:qFormat/>
    <w:uiPriority w:val="0"/>
    <w:pPr>
      <w:ind w:left="1171" w:right="91" w:hanging="1080"/>
    </w:pPr>
    <w:rPr>
      <w:rFonts w:eastAsia="楷体_GB2312"/>
      <w:szCs w:val="20"/>
    </w:rPr>
  </w:style>
  <w:style w:type="paragraph" w:styleId="20">
    <w:name w:val="toc 5"/>
    <w:basedOn w:val="1"/>
    <w:next w:val="1"/>
    <w:semiHidden/>
    <w:unhideWhenUsed/>
    <w:qFormat/>
    <w:uiPriority w:val="0"/>
    <w:pPr>
      <w:ind w:left="1680" w:leftChars="800"/>
    </w:pPr>
    <w:rPr>
      <w:rFonts w:ascii="Calibri" w:hAnsi="Calibri"/>
      <w:szCs w:val="22"/>
    </w:rPr>
  </w:style>
  <w:style w:type="paragraph" w:styleId="21">
    <w:name w:val="toc 3"/>
    <w:basedOn w:val="1"/>
    <w:next w:val="1"/>
    <w:semiHidden/>
    <w:unhideWhenUsed/>
    <w:qFormat/>
    <w:uiPriority w:val="0"/>
    <w:pPr>
      <w:ind w:left="840" w:leftChars="400"/>
    </w:pPr>
  </w:style>
  <w:style w:type="paragraph" w:styleId="22">
    <w:name w:val="Plain Text"/>
    <w:basedOn w:val="1"/>
    <w:link w:val="88"/>
    <w:unhideWhenUsed/>
    <w:qFormat/>
    <w:uiPriority w:val="0"/>
    <w:rPr>
      <w:rFonts w:ascii="宋体" w:hAnsi="Courier New" w:cs="Courier New"/>
      <w:szCs w:val="21"/>
    </w:rPr>
  </w:style>
  <w:style w:type="paragraph" w:styleId="23">
    <w:name w:val="toc 8"/>
    <w:basedOn w:val="1"/>
    <w:next w:val="1"/>
    <w:semiHidden/>
    <w:unhideWhenUsed/>
    <w:qFormat/>
    <w:uiPriority w:val="0"/>
    <w:pPr>
      <w:ind w:left="2940" w:leftChars="1400"/>
    </w:pPr>
    <w:rPr>
      <w:rFonts w:ascii="Calibri" w:hAnsi="Calibri"/>
      <w:szCs w:val="22"/>
    </w:rPr>
  </w:style>
  <w:style w:type="paragraph" w:styleId="24">
    <w:name w:val="Date"/>
    <w:basedOn w:val="1"/>
    <w:next w:val="1"/>
    <w:link w:val="82"/>
    <w:semiHidden/>
    <w:unhideWhenUsed/>
    <w:qFormat/>
    <w:uiPriority w:val="0"/>
    <w:rPr>
      <w:sz w:val="24"/>
      <w:szCs w:val="20"/>
    </w:rPr>
  </w:style>
  <w:style w:type="paragraph" w:styleId="25">
    <w:name w:val="Body Text Indent 2"/>
    <w:basedOn w:val="1"/>
    <w:link w:val="85"/>
    <w:semiHidden/>
    <w:unhideWhenUsed/>
    <w:qFormat/>
    <w:uiPriority w:val="0"/>
    <w:pPr>
      <w:spacing w:after="120" w:line="480" w:lineRule="auto"/>
      <w:ind w:left="420" w:leftChars="200"/>
    </w:pPr>
  </w:style>
  <w:style w:type="paragraph" w:styleId="26">
    <w:name w:val="Balloon Text"/>
    <w:basedOn w:val="1"/>
    <w:link w:val="90"/>
    <w:semiHidden/>
    <w:unhideWhenUsed/>
    <w:qFormat/>
    <w:uiPriority w:val="0"/>
    <w:rPr>
      <w:rFonts w:ascii="Calibri" w:hAnsi="Calibri"/>
      <w:sz w:val="18"/>
      <w:szCs w:val="18"/>
    </w:rPr>
  </w:style>
  <w:style w:type="paragraph" w:styleId="27">
    <w:name w:val="footer"/>
    <w:basedOn w:val="1"/>
    <w:link w:val="269"/>
    <w:unhideWhenUsed/>
    <w:qFormat/>
    <w:uiPriority w:val="99"/>
    <w:pPr>
      <w:tabs>
        <w:tab w:val="center" w:pos="4153"/>
        <w:tab w:val="right" w:pos="8306"/>
      </w:tabs>
      <w:snapToGrid w:val="0"/>
      <w:jc w:val="left"/>
    </w:pPr>
    <w:rPr>
      <w:sz w:val="18"/>
      <w:szCs w:val="18"/>
    </w:rPr>
  </w:style>
  <w:style w:type="paragraph" w:styleId="28">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29">
    <w:name w:val="header"/>
    <w:basedOn w:val="1"/>
    <w:link w:val="272"/>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unhideWhenUsed/>
    <w:qFormat/>
    <w:uiPriority w:val="0"/>
  </w:style>
  <w:style w:type="paragraph" w:styleId="31">
    <w:name w:val="toc 4"/>
    <w:basedOn w:val="1"/>
    <w:next w:val="1"/>
    <w:semiHidden/>
    <w:unhideWhenUsed/>
    <w:qFormat/>
    <w:uiPriority w:val="0"/>
    <w:pPr>
      <w:ind w:left="1260" w:leftChars="600"/>
    </w:pPr>
  </w:style>
  <w:style w:type="paragraph" w:styleId="32">
    <w:name w:val="toc 6"/>
    <w:basedOn w:val="1"/>
    <w:next w:val="1"/>
    <w:semiHidden/>
    <w:unhideWhenUsed/>
    <w:qFormat/>
    <w:uiPriority w:val="0"/>
    <w:pPr>
      <w:ind w:left="2100" w:leftChars="1000"/>
    </w:pPr>
    <w:rPr>
      <w:rFonts w:ascii="Calibri" w:hAnsi="Calibri"/>
      <w:szCs w:val="22"/>
    </w:rPr>
  </w:style>
  <w:style w:type="paragraph" w:styleId="33">
    <w:name w:val="Body Text Indent 3"/>
    <w:basedOn w:val="1"/>
    <w:link w:val="271"/>
    <w:unhideWhenUsed/>
    <w:qFormat/>
    <w:uiPriority w:val="0"/>
    <w:pPr>
      <w:spacing w:after="120"/>
      <w:ind w:left="420" w:leftChars="200"/>
    </w:pPr>
    <w:rPr>
      <w:sz w:val="16"/>
      <w:szCs w:val="16"/>
    </w:rPr>
  </w:style>
  <w:style w:type="paragraph" w:styleId="34">
    <w:name w:val="toc 2"/>
    <w:basedOn w:val="1"/>
    <w:next w:val="1"/>
    <w:semiHidden/>
    <w:unhideWhenUsed/>
    <w:qFormat/>
    <w:uiPriority w:val="0"/>
    <w:pPr>
      <w:ind w:left="420" w:leftChars="200"/>
    </w:pPr>
  </w:style>
  <w:style w:type="paragraph" w:styleId="35">
    <w:name w:val="toc 9"/>
    <w:basedOn w:val="1"/>
    <w:next w:val="1"/>
    <w:semiHidden/>
    <w:unhideWhenUsed/>
    <w:qFormat/>
    <w:uiPriority w:val="0"/>
    <w:pPr>
      <w:ind w:left="3360" w:leftChars="1600"/>
    </w:pPr>
    <w:rPr>
      <w:rFonts w:ascii="Calibri" w:hAnsi="Calibri"/>
      <w:szCs w:val="22"/>
    </w:rPr>
  </w:style>
  <w:style w:type="paragraph" w:styleId="36">
    <w:name w:val="Body Text 2"/>
    <w:basedOn w:val="1"/>
    <w:link w:val="83"/>
    <w:semiHidden/>
    <w:unhideWhenUsed/>
    <w:qFormat/>
    <w:uiPriority w:val="0"/>
    <w:pPr>
      <w:spacing w:after="120" w:line="480" w:lineRule="auto"/>
    </w:pPr>
  </w:style>
  <w:style w:type="paragraph" w:styleId="37">
    <w:name w:val="HTML Preformatted"/>
    <w:basedOn w:val="1"/>
    <w:link w:val="74"/>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semiHidden/>
    <w:unhideWhenUsed/>
    <w:qFormat/>
    <w:uiPriority w:val="0"/>
    <w:pPr>
      <w:spacing w:line="220" w:lineRule="exact"/>
      <w:jc w:val="center"/>
    </w:pPr>
    <w:rPr>
      <w:rFonts w:ascii="仿宋_GB2312" w:eastAsia="仿宋_GB2312"/>
      <w:szCs w:val="20"/>
    </w:rPr>
  </w:style>
  <w:style w:type="paragraph" w:styleId="40">
    <w:name w:val="Title"/>
    <w:basedOn w:val="1"/>
    <w:next w:val="1"/>
    <w:link w:val="280"/>
    <w:qFormat/>
    <w:uiPriority w:val="0"/>
    <w:pPr>
      <w:spacing w:before="240" w:after="60"/>
      <w:jc w:val="center"/>
      <w:outlineLvl w:val="0"/>
    </w:pPr>
    <w:rPr>
      <w:rFonts w:ascii="Cambria" w:hAnsi="Cambria"/>
      <w:b/>
      <w:sz w:val="32"/>
    </w:rPr>
  </w:style>
  <w:style w:type="paragraph" w:styleId="41">
    <w:name w:val="annotation subject"/>
    <w:basedOn w:val="14"/>
    <w:next w:val="14"/>
    <w:link w:val="265"/>
    <w:semiHidden/>
    <w:unhideWhenUsed/>
    <w:qFormat/>
    <w:uiPriority w:val="0"/>
    <w:rPr>
      <w:b/>
      <w:bCs/>
    </w:rPr>
  </w:style>
  <w:style w:type="paragraph" w:styleId="42">
    <w:name w:val="Body Text First Indent"/>
    <w:basedOn w:val="17"/>
    <w:qFormat/>
    <w:uiPriority w:val="0"/>
    <w:pPr>
      <w:ind w:firstLine="420" w:firstLineChars="100"/>
    </w:pPr>
    <w:rPr>
      <w:lang w:val="zh-CN"/>
    </w:rPr>
  </w:style>
  <w:style w:type="paragraph" w:styleId="43">
    <w:name w:val="Body Text First Indent 2"/>
    <w:basedOn w:val="18"/>
    <w:qFormat/>
    <w:uiPriority w:val="99"/>
    <w:pPr>
      <w:widowControl/>
      <w:spacing w:afterLines="100" w:line="360" w:lineRule="auto"/>
      <w:ind w:left="200" w:firstLine="210" w:firstLineChars="200"/>
      <w:jc w:val="left"/>
    </w:pPr>
    <w:rPr>
      <w:kern w:val="28"/>
      <w:lang w:val="zh-CN"/>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rFonts w:cs="Times New Roman"/>
      <w:b/>
      <w:bCs/>
    </w:rPr>
  </w:style>
  <w:style w:type="character" w:styleId="48">
    <w:name w:val="page number"/>
    <w:basedOn w:val="46"/>
    <w:qFormat/>
    <w:uiPriority w:val="0"/>
  </w:style>
  <w:style w:type="character" w:styleId="49">
    <w:name w:val="FollowedHyperlink"/>
    <w:semiHidden/>
    <w:unhideWhenUsed/>
    <w:qFormat/>
    <w:uiPriority w:val="0"/>
    <w:rPr>
      <w:rFonts w:hint="eastAsia" w:ascii="微软雅黑" w:hAnsi="微软雅黑" w:eastAsia="微软雅黑" w:cs="微软雅黑"/>
      <w:color w:val="02396F"/>
      <w:u w:val="single"/>
    </w:rPr>
  </w:style>
  <w:style w:type="character" w:styleId="50">
    <w:name w:val="Emphasis"/>
    <w:qFormat/>
    <w:uiPriority w:val="0"/>
    <w:rPr>
      <w:rFonts w:hint="default" w:ascii="Times New Roman" w:hAnsi="Times New Roman" w:eastAsia="宋体" w:cs="Times New Roman"/>
    </w:rPr>
  </w:style>
  <w:style w:type="character" w:styleId="51">
    <w:name w:val="HTML Definition"/>
    <w:semiHidden/>
    <w:unhideWhenUsed/>
    <w:qFormat/>
    <w:uiPriority w:val="0"/>
    <w:rPr>
      <w:rFonts w:hint="default" w:ascii="Times New Roman" w:hAnsi="Times New Roman" w:eastAsia="宋体" w:cs="Times New Roman"/>
    </w:rPr>
  </w:style>
  <w:style w:type="character" w:styleId="52">
    <w:name w:val="HTML Typewriter"/>
    <w:semiHidden/>
    <w:unhideWhenUsed/>
    <w:qFormat/>
    <w:uiPriority w:val="0"/>
    <w:rPr>
      <w:rFonts w:hint="default" w:ascii="Tahoma" w:hAnsi="Tahoma" w:eastAsia="Tahoma" w:cs="Tahoma"/>
      <w:b/>
      <w:color w:val="FFFFFF"/>
      <w:sz w:val="24"/>
      <w:szCs w:val="24"/>
      <w:shd w:val="clear" w:color="auto" w:fill="3A6EA5"/>
    </w:rPr>
  </w:style>
  <w:style w:type="character" w:styleId="53">
    <w:name w:val="HTML Variable"/>
    <w:semiHidden/>
    <w:unhideWhenUsed/>
    <w:qFormat/>
    <w:uiPriority w:val="0"/>
    <w:rPr>
      <w:rFonts w:hint="default" w:ascii="Times New Roman" w:hAnsi="Times New Roman" w:eastAsia="宋体" w:cs="Times New Roman"/>
    </w:rPr>
  </w:style>
  <w:style w:type="character" w:styleId="54">
    <w:name w:val="Hyperlink"/>
    <w:semiHidden/>
    <w:unhideWhenUsed/>
    <w:qFormat/>
    <w:uiPriority w:val="0"/>
    <w:rPr>
      <w:color w:val="136EC2"/>
      <w:u w:val="single"/>
    </w:rPr>
  </w:style>
  <w:style w:type="character" w:styleId="55">
    <w:name w:val="HTML Code"/>
    <w:semiHidden/>
    <w:unhideWhenUsed/>
    <w:qFormat/>
    <w:uiPriority w:val="0"/>
    <w:rPr>
      <w:rFonts w:hint="default" w:ascii="Courier New" w:hAnsi="Courier New" w:eastAsia="Courier New" w:cs="Courier New"/>
      <w:sz w:val="24"/>
      <w:szCs w:val="24"/>
    </w:rPr>
  </w:style>
  <w:style w:type="character" w:styleId="56">
    <w:name w:val="annotation reference"/>
    <w:semiHidden/>
    <w:unhideWhenUsed/>
    <w:qFormat/>
    <w:uiPriority w:val="0"/>
    <w:rPr>
      <w:sz w:val="21"/>
      <w:szCs w:val="21"/>
    </w:rPr>
  </w:style>
  <w:style w:type="character" w:styleId="57">
    <w:name w:val="HTML Cite"/>
    <w:semiHidden/>
    <w:unhideWhenUsed/>
    <w:qFormat/>
    <w:uiPriority w:val="0"/>
    <w:rPr>
      <w:rFonts w:hint="default" w:ascii="Times New Roman" w:hAnsi="Times New Roman" w:eastAsia="宋体" w:cs="Times New Roman"/>
    </w:rPr>
  </w:style>
  <w:style w:type="character" w:styleId="58">
    <w:name w:val="HTML Keyboard"/>
    <w:semiHidden/>
    <w:unhideWhenUsed/>
    <w:qFormat/>
    <w:uiPriority w:val="0"/>
    <w:rPr>
      <w:rFonts w:hint="default" w:ascii="Courier New" w:hAnsi="Courier New" w:eastAsia="Courier New" w:cs="Courier New"/>
      <w:sz w:val="24"/>
      <w:szCs w:val="24"/>
    </w:rPr>
  </w:style>
  <w:style w:type="character" w:styleId="59">
    <w:name w:val="HTML Sample"/>
    <w:semiHidden/>
    <w:unhideWhenUsed/>
    <w:qFormat/>
    <w:uiPriority w:val="0"/>
    <w:rPr>
      <w:rFonts w:hint="default" w:ascii="Courier New" w:hAnsi="Courier New" w:eastAsia="Courier New" w:cs="Courier New"/>
    </w:rPr>
  </w:style>
  <w:style w:type="paragraph" w:customStyle="1" w:styleId="60">
    <w:name w:val="列出段落1"/>
    <w:basedOn w:val="61"/>
    <w:qFormat/>
    <w:uiPriority w:val="0"/>
    <w:pPr>
      <w:ind w:firstLine="420" w:firstLineChars="200"/>
    </w:pPr>
    <w:rPr>
      <w:rFonts w:ascii="Calibri" w:hAnsi="Calibri" w:cs="Calibri"/>
      <w:szCs w:val="21"/>
    </w:rPr>
  </w:style>
  <w:style w:type="paragraph" w:customStyle="1" w:styleId="61">
    <w:name w:val="正文_10_4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2 Char"/>
    <w:basedOn w:val="46"/>
    <w:semiHidden/>
    <w:qFormat/>
    <w:uiPriority w:val="0"/>
    <w:rPr>
      <w:rFonts w:asciiTheme="majorHAnsi" w:hAnsiTheme="majorHAnsi" w:eastAsiaTheme="majorEastAsia" w:cstheme="majorBidi"/>
      <w:b/>
      <w:bCs/>
      <w:sz w:val="32"/>
      <w:szCs w:val="32"/>
    </w:rPr>
  </w:style>
  <w:style w:type="paragraph" w:customStyle="1" w:styleId="63">
    <w:name w:val="正文1"/>
    <w:basedOn w:val="1"/>
    <w:qFormat/>
    <w:uiPriority w:val="0"/>
    <w:pPr>
      <w:spacing w:line="360" w:lineRule="auto"/>
      <w:ind w:firstLine="480" w:firstLineChars="200"/>
    </w:pPr>
    <w:rPr>
      <w:rFonts w:ascii="Times New Roman" w:hAnsi="Times New Roman"/>
      <w:sz w:val="24"/>
      <w:szCs w:val="24"/>
    </w:rPr>
  </w:style>
  <w:style w:type="paragraph" w:customStyle="1" w:styleId="64">
    <w:name w:val="Default"/>
    <w:link w:val="96"/>
    <w:qFormat/>
    <w:uiPriority w:val="0"/>
    <w:pPr>
      <w:widowControl w:val="0"/>
      <w:autoSpaceDE w:val="0"/>
      <w:autoSpaceDN w:val="0"/>
      <w:adjustRightInd w:val="0"/>
    </w:pPr>
    <w:rPr>
      <w:rFonts w:ascii="黑体" w:hAnsi="黑体" w:eastAsia="黑体" w:cstheme="minorBidi"/>
      <w:kern w:val="2"/>
      <w:sz w:val="21"/>
      <w:szCs w:val="22"/>
      <w:lang w:val="en-US" w:eastAsia="zh-CN" w:bidi="ar-SA"/>
    </w:rPr>
  </w:style>
  <w:style w:type="paragraph" w:customStyle="1" w:styleId="65">
    <w:name w:val="正文首行缩进 21"/>
    <w:qFormat/>
    <w:uiPriority w:val="0"/>
    <w:pPr>
      <w:ind w:left="420" w:firstLine="420"/>
    </w:pPr>
    <w:rPr>
      <w:rFonts w:ascii="Times New Roman" w:hAnsi="Times New Roman" w:eastAsia="Times New Roman" w:cs="Times New Roman"/>
      <w:lang w:val="en-US" w:eastAsia="zh-CN" w:bidi="ar-SA"/>
    </w:rPr>
  </w:style>
  <w:style w:type="character" w:customStyle="1" w:styleId="66">
    <w:name w:val="标题 1 Char"/>
    <w:basedOn w:val="46"/>
    <w:qFormat/>
    <w:uiPriority w:val="0"/>
    <w:rPr>
      <w:rFonts w:ascii="Times New Roman" w:hAnsi="Times New Roman" w:eastAsia="宋体" w:cs="Times New Roman"/>
      <w:b/>
      <w:bCs/>
      <w:kern w:val="44"/>
      <w:sz w:val="44"/>
      <w:szCs w:val="44"/>
    </w:rPr>
  </w:style>
  <w:style w:type="character" w:customStyle="1" w:styleId="67">
    <w:name w:val="标题 3 Char"/>
    <w:basedOn w:val="46"/>
    <w:semiHidden/>
    <w:qFormat/>
    <w:uiPriority w:val="0"/>
    <w:rPr>
      <w:rFonts w:ascii="Times New Roman" w:hAnsi="Times New Roman" w:eastAsia="宋体" w:cs="Times New Roman"/>
      <w:b/>
      <w:bCs/>
      <w:sz w:val="32"/>
      <w:szCs w:val="32"/>
    </w:rPr>
  </w:style>
  <w:style w:type="character" w:customStyle="1" w:styleId="68">
    <w:name w:val="标题 4 Char"/>
    <w:basedOn w:val="46"/>
    <w:semiHidden/>
    <w:qFormat/>
    <w:uiPriority w:val="0"/>
    <w:rPr>
      <w:rFonts w:asciiTheme="majorHAnsi" w:hAnsiTheme="majorHAnsi" w:eastAsiaTheme="majorEastAsia" w:cstheme="majorBidi"/>
      <w:b/>
      <w:bCs/>
      <w:sz w:val="28"/>
      <w:szCs w:val="28"/>
    </w:rPr>
  </w:style>
  <w:style w:type="character" w:customStyle="1" w:styleId="69">
    <w:name w:val="标题 5 Char"/>
    <w:basedOn w:val="46"/>
    <w:semiHidden/>
    <w:qFormat/>
    <w:uiPriority w:val="0"/>
    <w:rPr>
      <w:rFonts w:ascii="Times New Roman" w:hAnsi="Times New Roman" w:eastAsia="宋体" w:cs="Times New Roman"/>
      <w:b/>
      <w:bCs/>
      <w:sz w:val="28"/>
      <w:szCs w:val="28"/>
    </w:rPr>
  </w:style>
  <w:style w:type="character" w:customStyle="1" w:styleId="70">
    <w:name w:val="标题 6 Char"/>
    <w:basedOn w:val="46"/>
    <w:semiHidden/>
    <w:qFormat/>
    <w:uiPriority w:val="0"/>
    <w:rPr>
      <w:rFonts w:asciiTheme="majorHAnsi" w:hAnsiTheme="majorHAnsi" w:eastAsiaTheme="majorEastAsia" w:cstheme="majorBidi"/>
      <w:b/>
      <w:bCs/>
      <w:sz w:val="24"/>
      <w:szCs w:val="24"/>
    </w:rPr>
  </w:style>
  <w:style w:type="character" w:customStyle="1" w:styleId="71">
    <w:name w:val="标题 7 Char"/>
    <w:basedOn w:val="46"/>
    <w:semiHidden/>
    <w:qFormat/>
    <w:uiPriority w:val="0"/>
    <w:rPr>
      <w:rFonts w:ascii="Times New Roman" w:hAnsi="Times New Roman" w:eastAsia="宋体" w:cs="Times New Roman"/>
      <w:b/>
      <w:bCs/>
      <w:sz w:val="24"/>
      <w:szCs w:val="24"/>
    </w:rPr>
  </w:style>
  <w:style w:type="character" w:customStyle="1" w:styleId="72">
    <w:name w:val="标题 8 Char"/>
    <w:basedOn w:val="46"/>
    <w:semiHidden/>
    <w:qFormat/>
    <w:uiPriority w:val="0"/>
    <w:rPr>
      <w:rFonts w:asciiTheme="majorHAnsi" w:hAnsiTheme="majorHAnsi" w:eastAsiaTheme="majorEastAsia" w:cstheme="majorBidi"/>
      <w:sz w:val="24"/>
      <w:szCs w:val="24"/>
    </w:rPr>
  </w:style>
  <w:style w:type="character" w:customStyle="1" w:styleId="73">
    <w:name w:val="标题 9 Char"/>
    <w:basedOn w:val="46"/>
    <w:semiHidden/>
    <w:qFormat/>
    <w:uiPriority w:val="0"/>
    <w:rPr>
      <w:rFonts w:asciiTheme="majorHAnsi" w:hAnsiTheme="majorHAnsi" w:eastAsiaTheme="majorEastAsia" w:cstheme="majorBidi"/>
      <w:szCs w:val="21"/>
    </w:rPr>
  </w:style>
  <w:style w:type="character" w:customStyle="1" w:styleId="74">
    <w:name w:val="HTML 预设格式 字符"/>
    <w:basedOn w:val="46"/>
    <w:link w:val="37"/>
    <w:semiHidden/>
    <w:qFormat/>
    <w:uiPriority w:val="0"/>
    <w:rPr>
      <w:rFonts w:ascii="Arial" w:hAnsi="Arial" w:eastAsia="宋体" w:cs="Arial"/>
      <w:kern w:val="0"/>
      <w:sz w:val="24"/>
      <w:szCs w:val="24"/>
    </w:rPr>
  </w:style>
  <w:style w:type="character" w:customStyle="1" w:styleId="75">
    <w:name w:val="批注文字 Char"/>
    <w:basedOn w:val="46"/>
    <w:semiHidden/>
    <w:qFormat/>
    <w:uiPriority w:val="0"/>
    <w:rPr>
      <w:rFonts w:ascii="Times New Roman" w:hAnsi="Times New Roman" w:eastAsia="宋体" w:cs="Times New Roman"/>
      <w:szCs w:val="24"/>
    </w:rPr>
  </w:style>
  <w:style w:type="character" w:customStyle="1" w:styleId="76">
    <w:name w:val="页眉 Char"/>
    <w:basedOn w:val="46"/>
    <w:semiHidden/>
    <w:qFormat/>
    <w:uiPriority w:val="0"/>
    <w:rPr>
      <w:rFonts w:ascii="Times New Roman" w:hAnsi="Times New Roman" w:eastAsia="宋体" w:cs="Times New Roman"/>
      <w:sz w:val="18"/>
      <w:szCs w:val="18"/>
    </w:rPr>
  </w:style>
  <w:style w:type="character" w:customStyle="1" w:styleId="77">
    <w:name w:val="页脚 Char"/>
    <w:basedOn w:val="46"/>
    <w:qFormat/>
    <w:uiPriority w:val="99"/>
    <w:rPr>
      <w:rFonts w:ascii="Times New Roman" w:hAnsi="Times New Roman" w:eastAsia="宋体" w:cs="Times New Roman"/>
      <w:sz w:val="18"/>
      <w:szCs w:val="18"/>
    </w:rPr>
  </w:style>
  <w:style w:type="character" w:customStyle="1" w:styleId="78">
    <w:name w:val="标题 Char"/>
    <w:basedOn w:val="46"/>
    <w:qFormat/>
    <w:uiPriority w:val="0"/>
    <w:rPr>
      <w:rFonts w:eastAsia="宋体" w:asciiTheme="majorHAnsi" w:hAnsiTheme="majorHAnsi" w:cstheme="majorBidi"/>
      <w:b/>
      <w:bCs/>
      <w:sz w:val="32"/>
      <w:szCs w:val="32"/>
    </w:rPr>
  </w:style>
  <w:style w:type="character" w:customStyle="1" w:styleId="79">
    <w:name w:val="正文文本 字符"/>
    <w:basedOn w:val="46"/>
    <w:link w:val="17"/>
    <w:qFormat/>
    <w:uiPriority w:val="0"/>
    <w:rPr>
      <w:rFonts w:ascii="Times New Roman" w:hAnsi="Times New Roman" w:eastAsia="宋体" w:cs="Times New Roman"/>
      <w:szCs w:val="24"/>
    </w:rPr>
  </w:style>
  <w:style w:type="character" w:customStyle="1" w:styleId="80">
    <w:name w:val="正文文本缩进 字符"/>
    <w:basedOn w:val="46"/>
    <w:link w:val="18"/>
    <w:semiHidden/>
    <w:qFormat/>
    <w:uiPriority w:val="0"/>
    <w:rPr>
      <w:rFonts w:ascii="Times New Roman" w:hAnsi="Times New Roman" w:eastAsia="宋体" w:cs="Times New Roman"/>
      <w:szCs w:val="24"/>
    </w:rPr>
  </w:style>
  <w:style w:type="character" w:customStyle="1" w:styleId="81">
    <w:name w:val="称呼 字符"/>
    <w:basedOn w:val="46"/>
    <w:link w:val="15"/>
    <w:semiHidden/>
    <w:qFormat/>
    <w:uiPriority w:val="0"/>
    <w:rPr>
      <w:rFonts w:ascii="仿宋_GB2312" w:hAnsi="Times New Roman" w:eastAsia="仿宋_GB2312" w:cs="Times New Roman"/>
      <w:sz w:val="24"/>
      <w:szCs w:val="24"/>
    </w:rPr>
  </w:style>
  <w:style w:type="character" w:customStyle="1" w:styleId="82">
    <w:name w:val="日期 字符"/>
    <w:basedOn w:val="46"/>
    <w:link w:val="24"/>
    <w:semiHidden/>
    <w:qFormat/>
    <w:uiPriority w:val="0"/>
    <w:rPr>
      <w:rFonts w:ascii="Times New Roman" w:hAnsi="Times New Roman" w:eastAsia="宋体" w:cs="Times New Roman"/>
      <w:sz w:val="24"/>
      <w:szCs w:val="20"/>
    </w:rPr>
  </w:style>
  <w:style w:type="character" w:customStyle="1" w:styleId="83">
    <w:name w:val="正文文本 2 字符"/>
    <w:basedOn w:val="46"/>
    <w:link w:val="36"/>
    <w:semiHidden/>
    <w:qFormat/>
    <w:uiPriority w:val="0"/>
    <w:rPr>
      <w:rFonts w:ascii="Times New Roman" w:hAnsi="Times New Roman" w:eastAsia="宋体" w:cs="Times New Roman"/>
      <w:szCs w:val="24"/>
    </w:rPr>
  </w:style>
  <w:style w:type="character" w:customStyle="1" w:styleId="84">
    <w:name w:val="正文文本 3 字符"/>
    <w:basedOn w:val="46"/>
    <w:link w:val="16"/>
    <w:semiHidden/>
    <w:qFormat/>
    <w:uiPriority w:val="0"/>
    <w:rPr>
      <w:rFonts w:ascii="宋体" w:hAnsi="Times New Roman" w:eastAsia="宋体" w:cs="Times New Roman"/>
      <w:color w:val="000000"/>
      <w:kern w:val="0"/>
      <w:sz w:val="24"/>
      <w:szCs w:val="20"/>
    </w:rPr>
  </w:style>
  <w:style w:type="character" w:customStyle="1" w:styleId="85">
    <w:name w:val="正文文本缩进 2 字符"/>
    <w:basedOn w:val="46"/>
    <w:link w:val="25"/>
    <w:semiHidden/>
    <w:qFormat/>
    <w:uiPriority w:val="0"/>
    <w:rPr>
      <w:rFonts w:ascii="Times New Roman" w:hAnsi="Times New Roman" w:eastAsia="宋体" w:cs="Times New Roman"/>
      <w:szCs w:val="24"/>
    </w:rPr>
  </w:style>
  <w:style w:type="character" w:customStyle="1" w:styleId="86">
    <w:name w:val="正文文本缩进 3 Char"/>
    <w:basedOn w:val="46"/>
    <w:qFormat/>
    <w:uiPriority w:val="0"/>
    <w:rPr>
      <w:rFonts w:ascii="Times New Roman" w:hAnsi="Times New Roman" w:eastAsia="宋体" w:cs="Times New Roman"/>
      <w:sz w:val="16"/>
      <w:szCs w:val="16"/>
    </w:rPr>
  </w:style>
  <w:style w:type="character" w:customStyle="1" w:styleId="87">
    <w:name w:val="文档结构图 字符"/>
    <w:basedOn w:val="46"/>
    <w:link w:val="13"/>
    <w:semiHidden/>
    <w:qFormat/>
    <w:uiPriority w:val="0"/>
    <w:rPr>
      <w:rFonts w:ascii="Times New Roman" w:hAnsi="Times New Roman" w:eastAsia="宋体" w:cs="Times New Roman"/>
      <w:szCs w:val="24"/>
      <w:shd w:val="clear" w:color="auto" w:fill="000080"/>
    </w:rPr>
  </w:style>
  <w:style w:type="character" w:customStyle="1" w:styleId="88">
    <w:name w:val="纯文本 字符"/>
    <w:basedOn w:val="46"/>
    <w:link w:val="22"/>
    <w:semiHidden/>
    <w:qFormat/>
    <w:uiPriority w:val="0"/>
    <w:rPr>
      <w:rFonts w:ascii="宋体" w:hAnsi="Courier New" w:eastAsia="宋体" w:cs="Courier New"/>
      <w:szCs w:val="21"/>
    </w:rPr>
  </w:style>
  <w:style w:type="character" w:customStyle="1" w:styleId="89">
    <w:name w:val="批注主题 Char"/>
    <w:basedOn w:val="75"/>
    <w:semiHidden/>
    <w:qFormat/>
    <w:uiPriority w:val="0"/>
    <w:rPr>
      <w:rFonts w:ascii="Times New Roman" w:hAnsi="Times New Roman" w:eastAsia="宋体" w:cs="Times New Roman"/>
      <w:b/>
      <w:bCs/>
      <w:szCs w:val="24"/>
    </w:rPr>
  </w:style>
  <w:style w:type="character" w:customStyle="1" w:styleId="90">
    <w:name w:val="批注框文本 字符"/>
    <w:basedOn w:val="46"/>
    <w:link w:val="26"/>
    <w:semiHidden/>
    <w:qFormat/>
    <w:uiPriority w:val="0"/>
    <w:rPr>
      <w:rFonts w:ascii="Calibri" w:hAnsi="Calibri" w:eastAsia="宋体" w:cs="Times New Roman"/>
      <w:sz w:val="18"/>
      <w:szCs w:val="18"/>
    </w:rPr>
  </w:style>
  <w:style w:type="paragraph" w:customStyle="1" w:styleId="91">
    <w:name w:val="修订1"/>
    <w:semiHidden/>
    <w:qFormat/>
    <w:uiPriority w:val="0"/>
    <w:rPr>
      <w:rFonts w:ascii="Times New Roman" w:hAnsi="Times New Roman" w:eastAsia="宋体" w:cs="Times New Roman"/>
      <w:kern w:val="2"/>
      <w:sz w:val="21"/>
      <w:szCs w:val="24"/>
      <w:lang w:val="en-US" w:eastAsia="zh-CN" w:bidi="ar-SA"/>
    </w:rPr>
  </w:style>
  <w:style w:type="paragraph" w:styleId="92">
    <w:name w:val="List Paragraph"/>
    <w:basedOn w:val="1"/>
    <w:qFormat/>
    <w:uiPriority w:val="34"/>
    <w:pPr>
      <w:ind w:firstLine="420" w:firstLineChars="200"/>
    </w:pPr>
    <w:rPr>
      <w:rFonts w:ascii="Calibri" w:hAnsi="Calibri"/>
      <w:szCs w:val="22"/>
    </w:rPr>
  </w:style>
  <w:style w:type="paragraph" w:customStyle="1" w:styleId="93">
    <w:name w:val="文档正文"/>
    <w:basedOn w:val="1"/>
    <w:qFormat/>
    <w:uiPriority w:val="0"/>
    <w:pPr>
      <w:suppressAutoHyphens/>
      <w:spacing w:line="312" w:lineRule="atLeast"/>
      <w:ind w:firstLine="567"/>
      <w:jc w:val="left"/>
    </w:pPr>
    <w:rPr>
      <w:rFonts w:ascii="长城仿宋" w:hAnsi="长城仿宋" w:eastAsia="长城仿宋" w:cs="Tahoma"/>
      <w:b/>
      <w:w w:val="80"/>
      <w:sz w:val="28"/>
      <w:szCs w:val="20"/>
    </w:rPr>
  </w:style>
  <w:style w:type="paragraph" w:customStyle="1" w:styleId="94">
    <w:name w:val="Style9"/>
    <w:basedOn w:val="1"/>
    <w:qFormat/>
    <w:uiPriority w:val="0"/>
  </w:style>
  <w:style w:type="paragraph" w:customStyle="1" w:styleId="95">
    <w:name w:val="Char1 Char Char Char"/>
    <w:basedOn w:val="1"/>
    <w:qFormat/>
    <w:uiPriority w:val="0"/>
    <w:pPr>
      <w:widowControl/>
      <w:spacing w:after="160" w:line="240" w:lineRule="exact"/>
      <w:jc w:val="left"/>
    </w:pPr>
    <w:rPr>
      <w:kern w:val="0"/>
      <w:sz w:val="24"/>
      <w:szCs w:val="20"/>
    </w:rPr>
  </w:style>
  <w:style w:type="character" w:customStyle="1" w:styleId="96">
    <w:name w:val="Default Char"/>
    <w:link w:val="64"/>
    <w:qFormat/>
    <w:locked/>
    <w:uiPriority w:val="0"/>
    <w:rPr>
      <w:rFonts w:ascii="黑体" w:hAnsi="黑体" w:eastAsia="黑体"/>
    </w:rPr>
  </w:style>
  <w:style w:type="paragraph" w:customStyle="1" w:styleId="97">
    <w:name w:val="Style56"/>
    <w:basedOn w:val="1"/>
    <w:qFormat/>
    <w:uiPriority w:val="0"/>
  </w:style>
  <w:style w:type="character" w:customStyle="1" w:styleId="98">
    <w:name w:val="p0 Char"/>
    <w:link w:val="99"/>
    <w:qFormat/>
    <w:locked/>
    <w:uiPriority w:val="0"/>
    <w:rPr>
      <w:szCs w:val="21"/>
    </w:rPr>
  </w:style>
  <w:style w:type="paragraph" w:customStyle="1" w:styleId="99">
    <w:name w:val="p0"/>
    <w:basedOn w:val="1"/>
    <w:link w:val="98"/>
    <w:qFormat/>
    <w:uiPriority w:val="0"/>
    <w:pPr>
      <w:widowControl/>
    </w:pPr>
    <w:rPr>
      <w:rFonts w:asciiTheme="minorHAnsi" w:hAnsiTheme="minorHAnsi" w:eastAsiaTheme="minorEastAsia" w:cstheme="minorBidi"/>
      <w:szCs w:val="21"/>
    </w:rPr>
  </w:style>
  <w:style w:type="paragraph" w:customStyle="1" w:styleId="100">
    <w:name w:val="WPSOffice手动目录 1"/>
    <w:qFormat/>
    <w:uiPriority w:val="0"/>
    <w:rPr>
      <w:rFonts w:ascii="Times New Roman" w:hAnsi="Times New Roman" w:eastAsia="宋体" w:cs="Times New Roman"/>
      <w:lang w:val="en-US" w:eastAsia="zh-CN" w:bidi="ar-SA"/>
    </w:rPr>
  </w:style>
  <w:style w:type="paragraph" w:customStyle="1" w:styleId="101">
    <w:name w:val="Char Char1 Char Char Char Char Char1 Char Char Char Char"/>
    <w:basedOn w:val="13"/>
    <w:qFormat/>
    <w:uiPriority w:val="0"/>
    <w:rPr>
      <w:rFonts w:ascii="Tahoma" w:hAnsi="Tahoma"/>
    </w:rPr>
  </w:style>
  <w:style w:type="paragraph" w:customStyle="1" w:styleId="102">
    <w:name w:val="Style11"/>
    <w:basedOn w:val="1"/>
    <w:qFormat/>
    <w:uiPriority w:val="0"/>
    <w:pPr>
      <w:spacing w:line="559" w:lineRule="exact"/>
      <w:ind w:firstLine="590"/>
    </w:pPr>
  </w:style>
  <w:style w:type="paragraph" w:customStyle="1" w:styleId="103">
    <w:name w:val="Style28"/>
    <w:basedOn w:val="1"/>
    <w:qFormat/>
    <w:uiPriority w:val="0"/>
    <w:pPr>
      <w:spacing w:line="552" w:lineRule="exact"/>
      <w:ind w:firstLine="547"/>
    </w:pPr>
  </w:style>
  <w:style w:type="paragraph" w:customStyle="1" w:styleId="104">
    <w:name w:val="Char Char1 Char Char Char"/>
    <w:basedOn w:val="1"/>
    <w:qFormat/>
    <w:uiPriority w:val="0"/>
    <w:rPr>
      <w:kern w:val="0"/>
      <w:sz w:val="20"/>
      <w:szCs w:val="20"/>
    </w:rPr>
  </w:style>
  <w:style w:type="paragraph" w:customStyle="1" w:styleId="105">
    <w:name w:val="Style29"/>
    <w:basedOn w:val="1"/>
    <w:qFormat/>
    <w:uiPriority w:val="0"/>
    <w:pPr>
      <w:spacing w:line="547" w:lineRule="exact"/>
      <w:ind w:firstLine="547"/>
    </w:pPr>
  </w:style>
  <w:style w:type="paragraph" w:customStyle="1" w:styleId="106">
    <w:name w:val="Style8"/>
    <w:basedOn w:val="1"/>
    <w:qFormat/>
    <w:uiPriority w:val="0"/>
    <w:pPr>
      <w:spacing w:line="566" w:lineRule="exact"/>
      <w:jc w:val="center"/>
    </w:pPr>
  </w:style>
  <w:style w:type="paragraph" w:customStyle="1" w:styleId="107">
    <w:name w:val="1"/>
    <w:basedOn w:val="1"/>
    <w:qFormat/>
    <w:uiPriority w:val="0"/>
    <w:pPr>
      <w:spacing w:afterLines="50" w:line="360" w:lineRule="auto"/>
    </w:pPr>
    <w:rPr>
      <w:rFonts w:ascii="宋体" w:hAnsi="宋体"/>
      <w:b/>
      <w:sz w:val="30"/>
      <w:szCs w:val="21"/>
    </w:rPr>
  </w:style>
  <w:style w:type="paragraph" w:customStyle="1" w:styleId="108">
    <w:name w:val="Style41"/>
    <w:basedOn w:val="1"/>
    <w:qFormat/>
    <w:uiPriority w:val="0"/>
    <w:pPr>
      <w:spacing w:line="542" w:lineRule="exact"/>
      <w:ind w:firstLine="125"/>
    </w:pPr>
  </w:style>
  <w:style w:type="paragraph" w:customStyle="1" w:styleId="109">
    <w:name w:val="Style26"/>
    <w:basedOn w:val="1"/>
    <w:qFormat/>
    <w:uiPriority w:val="0"/>
  </w:style>
  <w:style w:type="paragraph" w:customStyle="1" w:styleId="110">
    <w:name w:val="表格内容"/>
    <w:basedOn w:val="17"/>
    <w:qFormat/>
    <w:uiPriority w:val="0"/>
    <w:pPr>
      <w:suppressLineNumbers/>
      <w:suppressAutoHyphens/>
      <w:jc w:val="left"/>
    </w:pPr>
    <w:rPr>
      <w:rFonts w:cs="Tahoma"/>
      <w:kern w:val="0"/>
      <w:sz w:val="24"/>
    </w:rPr>
  </w:style>
  <w:style w:type="paragraph" w:customStyle="1" w:styleId="11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12">
    <w:name w:val="前言、引言标题"/>
    <w:next w:val="1"/>
    <w:qFormat/>
    <w:uiPriority w:val="0"/>
    <w:pPr>
      <w:shd w:val="clear" w:color="auto"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13">
    <w:name w:val="1 Char Char Char Char"/>
    <w:basedOn w:val="1"/>
    <w:qFormat/>
    <w:uiPriority w:val="0"/>
  </w:style>
  <w:style w:type="paragraph" w:customStyle="1" w:styleId="114">
    <w:name w:val="Style21"/>
    <w:basedOn w:val="1"/>
    <w:qFormat/>
    <w:uiPriority w:val="0"/>
    <w:pPr>
      <w:spacing w:line="566" w:lineRule="exact"/>
      <w:ind w:firstLine="682"/>
    </w:pPr>
  </w:style>
  <w:style w:type="paragraph" w:customStyle="1" w:styleId="115">
    <w:name w:val="Style61"/>
    <w:basedOn w:val="1"/>
    <w:qFormat/>
    <w:uiPriority w:val="0"/>
  </w:style>
  <w:style w:type="paragraph" w:customStyle="1" w:styleId="116">
    <w:name w:val="标题3"/>
    <w:basedOn w:val="2"/>
    <w:qFormat/>
    <w:uiPriority w:val="0"/>
    <w:pPr>
      <w:spacing w:beforeLines="50" w:afterLines="50" w:line="400" w:lineRule="exact"/>
      <w:jc w:val="both"/>
    </w:pPr>
    <w:rPr>
      <w:rFonts w:ascii="宋体" w:hAnsi="宋体"/>
      <w:kern w:val="32"/>
      <w:szCs w:val="32"/>
    </w:rPr>
  </w:style>
  <w:style w:type="paragraph" w:customStyle="1" w:styleId="1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19">
    <w:name w:val="Style53"/>
    <w:basedOn w:val="1"/>
    <w:qFormat/>
    <w:uiPriority w:val="0"/>
    <w:pPr>
      <w:spacing w:line="533" w:lineRule="exact"/>
      <w:ind w:firstLine="581"/>
    </w:pPr>
  </w:style>
  <w:style w:type="paragraph" w:customStyle="1" w:styleId="120">
    <w:name w:val="Char"/>
    <w:basedOn w:val="1"/>
    <w:qFormat/>
    <w:uiPriority w:val="0"/>
    <w:pPr>
      <w:tabs>
        <w:tab w:val="left" w:pos="360"/>
      </w:tabs>
      <w:ind w:left="360" w:hanging="360" w:hangingChars="200"/>
    </w:pPr>
    <w:rPr>
      <w:sz w:val="24"/>
    </w:rPr>
  </w:style>
  <w:style w:type="paragraph" w:customStyle="1" w:styleId="121">
    <w:name w:val="Style4"/>
    <w:basedOn w:val="1"/>
    <w:qFormat/>
    <w:uiPriority w:val="0"/>
  </w:style>
  <w:style w:type="paragraph" w:customStyle="1" w:styleId="122">
    <w:name w:val="Style77"/>
    <w:basedOn w:val="1"/>
    <w:qFormat/>
    <w:uiPriority w:val="0"/>
  </w:style>
  <w:style w:type="paragraph" w:customStyle="1" w:styleId="12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24">
    <w:name w:val="Style52"/>
    <w:basedOn w:val="1"/>
    <w:qFormat/>
    <w:uiPriority w:val="0"/>
    <w:pPr>
      <w:spacing w:line="682" w:lineRule="exact"/>
      <w:ind w:firstLine="557"/>
    </w:pPr>
  </w:style>
  <w:style w:type="character" w:customStyle="1" w:styleId="125">
    <w:name w:val="样式1 Char"/>
    <w:link w:val="126"/>
    <w:qFormat/>
    <w:locked/>
    <w:uiPriority w:val="0"/>
    <w:rPr>
      <w:rFonts w:ascii="宋体" w:hAnsi="宋体" w:eastAsia="宋体"/>
      <w:szCs w:val="21"/>
    </w:rPr>
  </w:style>
  <w:style w:type="paragraph" w:customStyle="1" w:styleId="126">
    <w:name w:val="样式1"/>
    <w:basedOn w:val="1"/>
    <w:link w:val="125"/>
    <w:qFormat/>
    <w:uiPriority w:val="0"/>
    <w:pPr>
      <w:tabs>
        <w:tab w:val="left" w:pos="360"/>
      </w:tabs>
      <w:adjustRightInd w:val="0"/>
      <w:ind w:left="360" w:hanging="360"/>
    </w:pPr>
    <w:rPr>
      <w:rFonts w:ascii="宋体" w:hAnsi="宋体" w:cstheme="minorBidi"/>
      <w:szCs w:val="21"/>
    </w:rPr>
  </w:style>
  <w:style w:type="paragraph" w:customStyle="1" w:styleId="127">
    <w:name w:val="Style68"/>
    <w:basedOn w:val="1"/>
    <w:qFormat/>
    <w:uiPriority w:val="0"/>
    <w:pPr>
      <w:spacing w:line="547" w:lineRule="exact"/>
    </w:pPr>
  </w:style>
  <w:style w:type="paragraph" w:customStyle="1" w:styleId="128">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29">
    <w:name w:val="Style54"/>
    <w:basedOn w:val="1"/>
    <w:qFormat/>
    <w:uiPriority w:val="0"/>
  </w:style>
  <w:style w:type="paragraph" w:customStyle="1" w:styleId="130">
    <w:name w:val="Char Char Char"/>
    <w:basedOn w:val="1"/>
    <w:qFormat/>
    <w:uiPriority w:val="0"/>
    <w:rPr>
      <w:rFonts w:ascii="宋体" w:hAnsi="宋体"/>
      <w:b/>
      <w:sz w:val="28"/>
      <w:szCs w:val="28"/>
    </w:rPr>
  </w:style>
  <w:style w:type="paragraph" w:customStyle="1" w:styleId="131">
    <w:name w:val="Style78"/>
    <w:basedOn w:val="1"/>
    <w:qFormat/>
    <w:uiPriority w:val="0"/>
  </w:style>
  <w:style w:type="paragraph" w:customStyle="1" w:styleId="132">
    <w:name w:val="Style36"/>
    <w:basedOn w:val="1"/>
    <w:qFormat/>
    <w:uiPriority w:val="0"/>
  </w:style>
  <w:style w:type="paragraph" w:customStyle="1" w:styleId="133">
    <w:name w:val="Style63"/>
    <w:basedOn w:val="1"/>
    <w:qFormat/>
    <w:uiPriority w:val="0"/>
    <w:pPr>
      <w:spacing w:line="564" w:lineRule="exact"/>
      <w:ind w:firstLine="682"/>
    </w:pPr>
  </w:style>
  <w:style w:type="paragraph" w:customStyle="1" w:styleId="134">
    <w:name w:val="Style65"/>
    <w:basedOn w:val="1"/>
    <w:qFormat/>
    <w:uiPriority w:val="0"/>
  </w:style>
  <w:style w:type="paragraph" w:customStyle="1" w:styleId="135">
    <w:name w:val="Style73"/>
    <w:basedOn w:val="1"/>
    <w:qFormat/>
    <w:uiPriority w:val="0"/>
    <w:pPr>
      <w:spacing w:line="538" w:lineRule="exact"/>
      <w:ind w:firstLine="533"/>
    </w:pPr>
  </w:style>
  <w:style w:type="paragraph" w:customStyle="1" w:styleId="136">
    <w:name w:val="Style16"/>
    <w:basedOn w:val="1"/>
    <w:qFormat/>
    <w:uiPriority w:val="0"/>
    <w:pPr>
      <w:jc w:val="right"/>
    </w:pPr>
  </w:style>
  <w:style w:type="paragraph" w:customStyle="1" w:styleId="137">
    <w:name w:val="Style62"/>
    <w:basedOn w:val="1"/>
    <w:qFormat/>
    <w:uiPriority w:val="0"/>
  </w:style>
  <w:style w:type="paragraph" w:customStyle="1" w:styleId="138">
    <w:name w:val="Style76"/>
    <w:basedOn w:val="1"/>
    <w:qFormat/>
    <w:uiPriority w:val="0"/>
  </w:style>
  <w:style w:type="paragraph" w:customStyle="1" w:styleId="139">
    <w:name w:val="Style80"/>
    <w:basedOn w:val="1"/>
    <w:qFormat/>
    <w:uiPriority w:val="0"/>
  </w:style>
  <w:style w:type="paragraph" w:customStyle="1" w:styleId="140">
    <w:name w:val="Style71"/>
    <w:basedOn w:val="1"/>
    <w:qFormat/>
    <w:uiPriority w:val="0"/>
    <w:pPr>
      <w:spacing w:line="538" w:lineRule="exact"/>
      <w:ind w:firstLine="101"/>
    </w:pPr>
  </w:style>
  <w:style w:type="paragraph" w:customStyle="1" w:styleId="141">
    <w:name w:val="p16"/>
    <w:basedOn w:val="1"/>
    <w:qFormat/>
    <w:uiPriority w:val="0"/>
    <w:pPr>
      <w:widowControl/>
      <w:jc w:val="left"/>
    </w:pPr>
    <w:rPr>
      <w:kern w:val="0"/>
      <w:szCs w:val="21"/>
    </w:rPr>
  </w:style>
  <w:style w:type="paragraph" w:customStyle="1" w:styleId="14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3">
    <w:name w:val="Char Char1 Char Char Char Char Char Char Char"/>
    <w:basedOn w:val="1"/>
    <w:qFormat/>
    <w:uiPriority w:val="0"/>
    <w:pPr>
      <w:widowControl/>
      <w:spacing w:after="160" w:line="240" w:lineRule="exact"/>
      <w:jc w:val="left"/>
    </w:pPr>
  </w:style>
  <w:style w:type="paragraph" w:customStyle="1" w:styleId="144">
    <w:name w:val="Style27"/>
    <w:basedOn w:val="1"/>
    <w:qFormat/>
    <w:uiPriority w:val="0"/>
  </w:style>
  <w:style w:type="paragraph" w:customStyle="1" w:styleId="145">
    <w:name w:val="Style13"/>
    <w:basedOn w:val="1"/>
    <w:qFormat/>
    <w:uiPriority w:val="0"/>
  </w:style>
  <w:style w:type="paragraph" w:customStyle="1" w:styleId="146">
    <w:name w:val="Style70"/>
    <w:basedOn w:val="1"/>
    <w:qFormat/>
    <w:uiPriority w:val="0"/>
    <w:pPr>
      <w:spacing w:line="549" w:lineRule="exact"/>
      <w:ind w:firstLine="686"/>
    </w:pPr>
  </w:style>
  <w:style w:type="paragraph" w:customStyle="1" w:styleId="147">
    <w:name w:val="Style60"/>
    <w:basedOn w:val="1"/>
    <w:qFormat/>
    <w:uiPriority w:val="0"/>
    <w:pPr>
      <w:spacing w:line="566" w:lineRule="exact"/>
    </w:pPr>
  </w:style>
  <w:style w:type="paragraph" w:customStyle="1" w:styleId="14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9">
    <w:name w:val="Style45"/>
    <w:basedOn w:val="1"/>
    <w:qFormat/>
    <w:uiPriority w:val="0"/>
  </w:style>
  <w:style w:type="paragraph" w:customStyle="1" w:styleId="150">
    <w:name w:val="Style59"/>
    <w:basedOn w:val="1"/>
    <w:qFormat/>
    <w:uiPriority w:val="0"/>
  </w:style>
  <w:style w:type="paragraph" w:customStyle="1" w:styleId="151">
    <w:name w:val="NO3"/>
    <w:basedOn w:val="1"/>
    <w:qFormat/>
    <w:uiPriority w:val="0"/>
    <w:pPr>
      <w:tabs>
        <w:tab w:val="left" w:pos="907"/>
      </w:tabs>
      <w:spacing w:line="360" w:lineRule="auto"/>
    </w:pPr>
    <w:rPr>
      <w:rFonts w:ascii="宋体" w:hAnsi="宋体"/>
      <w:sz w:val="24"/>
    </w:rPr>
  </w:style>
  <w:style w:type="paragraph" w:customStyle="1" w:styleId="152">
    <w:name w:val="Style74"/>
    <w:basedOn w:val="1"/>
    <w:qFormat/>
    <w:uiPriority w:val="0"/>
    <w:pPr>
      <w:spacing w:line="437" w:lineRule="exact"/>
    </w:pPr>
  </w:style>
  <w:style w:type="paragraph" w:customStyle="1" w:styleId="153">
    <w:name w:val="Char1 Char Char Char 字元 Char Char 字元 Char 字元 Char1 Char Char Char"/>
    <w:basedOn w:val="1"/>
    <w:qFormat/>
    <w:uiPriority w:val="0"/>
    <w:rPr>
      <w:szCs w:val="20"/>
    </w:rPr>
  </w:style>
  <w:style w:type="paragraph" w:customStyle="1" w:styleId="1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5">
    <w:name w:val="Style47"/>
    <w:basedOn w:val="1"/>
    <w:qFormat/>
    <w:uiPriority w:val="0"/>
  </w:style>
  <w:style w:type="paragraph" w:customStyle="1" w:styleId="156">
    <w:name w:val="Style67"/>
    <w:basedOn w:val="1"/>
    <w:qFormat/>
    <w:uiPriority w:val="0"/>
    <w:pPr>
      <w:spacing w:line="566" w:lineRule="exact"/>
      <w:ind w:firstLine="552"/>
    </w:pPr>
  </w:style>
  <w:style w:type="paragraph" w:customStyle="1" w:styleId="15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标题2"/>
    <w:basedOn w:val="40"/>
    <w:qFormat/>
    <w:uiPriority w:val="0"/>
    <w:pPr>
      <w:spacing w:after="240"/>
      <w:jc w:val="left"/>
    </w:pPr>
    <w:rPr>
      <w:sz w:val="30"/>
    </w:rPr>
  </w:style>
  <w:style w:type="paragraph" w:customStyle="1" w:styleId="15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outlineLvl w:val="1"/>
    </w:pPr>
    <w:rPr>
      <w:rFonts w:ascii="宋体" w:hAnsi="宋体"/>
      <w:b/>
      <w:bCs/>
      <w:color w:val="000000"/>
      <w:kern w:val="0"/>
      <w:szCs w:val="20"/>
    </w:rPr>
  </w:style>
  <w:style w:type="paragraph" w:customStyle="1" w:styleId="160">
    <w:name w:val="Style10"/>
    <w:basedOn w:val="1"/>
    <w:qFormat/>
    <w:uiPriority w:val="0"/>
    <w:pPr>
      <w:spacing w:line="538" w:lineRule="exact"/>
    </w:pPr>
  </w:style>
  <w:style w:type="paragraph" w:customStyle="1" w:styleId="161">
    <w:name w:val="Style34"/>
    <w:basedOn w:val="1"/>
    <w:qFormat/>
    <w:uiPriority w:val="0"/>
    <w:pPr>
      <w:spacing w:line="375" w:lineRule="exact"/>
    </w:pPr>
  </w:style>
  <w:style w:type="paragraph" w:customStyle="1" w:styleId="162">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63">
    <w:name w:val="Style72"/>
    <w:basedOn w:val="1"/>
    <w:qFormat/>
    <w:uiPriority w:val="0"/>
  </w:style>
  <w:style w:type="paragraph" w:customStyle="1" w:styleId="164">
    <w:name w:val="Style12"/>
    <w:basedOn w:val="1"/>
    <w:qFormat/>
    <w:uiPriority w:val="0"/>
    <w:pPr>
      <w:spacing w:line="564" w:lineRule="exact"/>
      <w:ind w:hanging="115"/>
    </w:pPr>
  </w:style>
  <w:style w:type="paragraph" w:customStyle="1" w:styleId="16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Style48"/>
    <w:basedOn w:val="1"/>
    <w:qFormat/>
    <w:uiPriority w:val="0"/>
    <w:pPr>
      <w:spacing w:line="542" w:lineRule="exact"/>
      <w:jc w:val="right"/>
    </w:pPr>
  </w:style>
  <w:style w:type="paragraph" w:customStyle="1" w:styleId="167">
    <w:name w:val="Style50"/>
    <w:basedOn w:val="1"/>
    <w:qFormat/>
    <w:uiPriority w:val="0"/>
  </w:style>
  <w:style w:type="paragraph" w:customStyle="1" w:styleId="168">
    <w:name w:val="Style42"/>
    <w:basedOn w:val="1"/>
    <w:qFormat/>
    <w:uiPriority w:val="0"/>
    <w:pPr>
      <w:spacing w:line="542" w:lineRule="exact"/>
      <w:ind w:firstLine="547"/>
    </w:pPr>
  </w:style>
  <w:style w:type="paragraph" w:customStyle="1" w:styleId="16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标题 1 +"/>
    <w:basedOn w:val="2"/>
    <w:next w:val="1"/>
    <w:qFormat/>
    <w:uiPriority w:val="0"/>
    <w:pPr>
      <w:keepLines/>
      <w:spacing w:line="600" w:lineRule="auto"/>
    </w:pPr>
    <w:rPr>
      <w:rFonts w:eastAsia="黑体"/>
      <w:kern w:val="0"/>
      <w:sz w:val="32"/>
      <w:szCs w:val="32"/>
    </w:rPr>
  </w:style>
  <w:style w:type="paragraph" w:customStyle="1" w:styleId="171">
    <w:name w:val="Style46"/>
    <w:basedOn w:val="1"/>
    <w:qFormat/>
    <w:uiPriority w:val="0"/>
    <w:pPr>
      <w:spacing w:line="672" w:lineRule="exact"/>
    </w:pPr>
  </w:style>
  <w:style w:type="paragraph" w:customStyle="1" w:styleId="172">
    <w:name w:val="Style15"/>
    <w:basedOn w:val="1"/>
    <w:qFormat/>
    <w:uiPriority w:val="0"/>
    <w:pPr>
      <w:spacing w:line="557" w:lineRule="exact"/>
      <w:ind w:firstLine="672"/>
    </w:pPr>
  </w:style>
  <w:style w:type="paragraph" w:customStyle="1" w:styleId="173">
    <w:name w:val="xl3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Style24"/>
    <w:basedOn w:val="1"/>
    <w:qFormat/>
    <w:uiPriority w:val="0"/>
  </w:style>
  <w:style w:type="paragraph" w:customStyle="1" w:styleId="175">
    <w:name w:val="Char Char Char Char"/>
    <w:basedOn w:val="13"/>
    <w:qFormat/>
    <w:uiPriority w:val="0"/>
    <w:pPr>
      <w:adjustRightInd w:val="0"/>
      <w:snapToGrid w:val="0"/>
      <w:spacing w:line="360" w:lineRule="auto"/>
    </w:pPr>
    <w:rPr>
      <w:szCs w:val="20"/>
    </w:rPr>
  </w:style>
  <w:style w:type="paragraph" w:customStyle="1" w:styleId="176">
    <w:name w:val="Style58"/>
    <w:basedOn w:val="1"/>
    <w:qFormat/>
    <w:uiPriority w:val="0"/>
    <w:pPr>
      <w:spacing w:line="413" w:lineRule="exact"/>
    </w:pPr>
  </w:style>
  <w:style w:type="paragraph" w:customStyle="1" w:styleId="177">
    <w:name w:val="附录标识"/>
    <w:basedOn w:val="112"/>
    <w:qFormat/>
    <w:uiPriority w:val="0"/>
    <w:pPr>
      <w:tabs>
        <w:tab w:val="left" w:pos="6405"/>
        <w:tab w:val="clear" w:pos="360"/>
        <w:tab w:val="clear" w:pos="720"/>
      </w:tabs>
      <w:spacing w:after="200"/>
    </w:pPr>
    <w:rPr>
      <w:sz w:val="21"/>
    </w:rPr>
  </w:style>
  <w:style w:type="paragraph" w:customStyle="1" w:styleId="178">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79">
    <w:name w:val="样式 标题 2 + 宋体 五号 行距: 单倍行距"/>
    <w:basedOn w:val="3"/>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180">
    <w:name w:val="Style44"/>
    <w:basedOn w:val="1"/>
    <w:qFormat/>
    <w:uiPriority w:val="0"/>
  </w:style>
  <w:style w:type="paragraph" w:customStyle="1" w:styleId="181">
    <w:name w:val="Char1 Char Char Char Char Char Char Char Char Char"/>
    <w:basedOn w:val="1"/>
    <w:qFormat/>
    <w:uiPriority w:val="0"/>
    <w:rPr>
      <w:szCs w:val="20"/>
    </w:rPr>
  </w:style>
  <w:style w:type="paragraph" w:customStyle="1" w:styleId="182">
    <w:name w:val="默认段落字体 Para Char Char Char Char Char Char Char Char Char Char Char Char Char Char Char Char Char Char Char"/>
    <w:basedOn w:val="1"/>
    <w:qFormat/>
    <w:uiPriority w:val="0"/>
  </w:style>
  <w:style w:type="paragraph" w:customStyle="1" w:styleId="183">
    <w:name w:val="Style5"/>
    <w:basedOn w:val="1"/>
    <w:qFormat/>
    <w:uiPriority w:val="0"/>
  </w:style>
  <w:style w:type="paragraph" w:customStyle="1" w:styleId="184">
    <w:name w:val="Style69"/>
    <w:basedOn w:val="1"/>
    <w:qFormat/>
    <w:uiPriority w:val="0"/>
    <w:pPr>
      <w:spacing w:line="557" w:lineRule="exact"/>
      <w:ind w:firstLine="1666"/>
    </w:pPr>
  </w:style>
  <w:style w:type="paragraph" w:customStyle="1" w:styleId="185">
    <w:name w:val="Style81"/>
    <w:basedOn w:val="1"/>
    <w:qFormat/>
    <w:uiPriority w:val="0"/>
    <w:pPr>
      <w:spacing w:line="547" w:lineRule="exact"/>
    </w:pPr>
  </w:style>
  <w:style w:type="paragraph" w:customStyle="1" w:styleId="186">
    <w:name w:val="Style23"/>
    <w:basedOn w:val="1"/>
    <w:qFormat/>
    <w:uiPriority w:val="0"/>
  </w:style>
  <w:style w:type="paragraph" w:customStyle="1" w:styleId="187">
    <w:name w:val="Style64"/>
    <w:basedOn w:val="1"/>
    <w:qFormat/>
    <w:uiPriority w:val="0"/>
  </w:style>
  <w:style w:type="character" w:customStyle="1" w:styleId="188">
    <w:name w:val="desc"/>
    <w:qFormat/>
    <w:uiPriority w:val="0"/>
    <w:rPr>
      <w:rFonts w:hint="default" w:ascii="Times New Roman" w:hAnsi="Times New Roman" w:eastAsia="宋体" w:cs="Times New Roman"/>
      <w:color w:val="000000"/>
      <w:sz w:val="18"/>
      <w:szCs w:val="18"/>
    </w:rPr>
  </w:style>
  <w:style w:type="character" w:customStyle="1" w:styleId="189">
    <w:name w:val="content_1"/>
    <w:qFormat/>
    <w:uiPriority w:val="0"/>
    <w:rPr>
      <w:sz w:val="19"/>
      <w:szCs w:val="19"/>
    </w:rPr>
  </w:style>
  <w:style w:type="character" w:customStyle="1" w:styleId="190">
    <w:name w:val="Font Style124"/>
    <w:qFormat/>
    <w:uiPriority w:val="0"/>
    <w:rPr>
      <w:rFonts w:hint="eastAsia" w:ascii="宋体" w:hAnsi="宋体" w:eastAsia="宋体"/>
      <w:spacing w:val="30"/>
      <w:sz w:val="24"/>
    </w:rPr>
  </w:style>
  <w:style w:type="character" w:customStyle="1" w:styleId="191">
    <w:name w:val="sort1"/>
    <w:qFormat/>
    <w:uiPriority w:val="0"/>
    <w:rPr>
      <w:rFonts w:hint="default" w:ascii="Times New Roman" w:hAnsi="Times New Roman" w:eastAsia="宋体" w:cs="Times New Roman"/>
    </w:rPr>
  </w:style>
  <w:style w:type="character" w:customStyle="1" w:styleId="192">
    <w:name w:val="标题 Char1"/>
    <w:qFormat/>
    <w:uiPriority w:val="0"/>
    <w:rPr>
      <w:rFonts w:hint="default" w:ascii="Cambria" w:hAnsi="Cambria" w:eastAsia="宋体" w:cs="Times New Roman"/>
      <w:b/>
      <w:bCs/>
      <w:sz w:val="32"/>
      <w:szCs w:val="32"/>
    </w:rPr>
  </w:style>
  <w:style w:type="character" w:customStyle="1" w:styleId="193">
    <w:name w:val="sidecatalog-dot1"/>
    <w:qFormat/>
    <w:uiPriority w:val="0"/>
    <w:rPr>
      <w:rFonts w:hint="default" w:ascii="Times New Roman" w:hAnsi="Times New Roman" w:eastAsia="宋体" w:cs="Times New Roman"/>
    </w:rPr>
  </w:style>
  <w:style w:type="character" w:customStyle="1" w:styleId="194">
    <w:name w:val="标题 3 字符"/>
    <w:link w:val="4"/>
    <w:semiHidden/>
    <w:qFormat/>
    <w:locked/>
    <w:uiPriority w:val="0"/>
    <w:rPr>
      <w:rFonts w:ascii="Times New Roman" w:hAnsi="Times New Roman" w:eastAsia="宋体" w:cs="Times New Roman"/>
      <w:b/>
      <w:bCs/>
      <w:sz w:val="32"/>
      <w:szCs w:val="32"/>
    </w:rPr>
  </w:style>
  <w:style w:type="character" w:customStyle="1" w:styleId="195">
    <w:name w:val="Font Style133"/>
    <w:qFormat/>
    <w:uiPriority w:val="0"/>
    <w:rPr>
      <w:rFonts w:hint="eastAsia" w:ascii="宋体" w:hAnsi="宋体" w:eastAsia="宋体"/>
      <w:spacing w:val="30"/>
      <w:sz w:val="24"/>
    </w:rPr>
  </w:style>
  <w:style w:type="character" w:customStyle="1" w:styleId="196">
    <w:name w:val="Font Style105"/>
    <w:qFormat/>
    <w:uiPriority w:val="0"/>
    <w:rPr>
      <w:rFonts w:hint="default" w:ascii="Times New Roman" w:hAnsi="Times New Roman" w:eastAsia="Times New Roman" w:cs="Times New Roman"/>
      <w:w w:val="60"/>
      <w:sz w:val="26"/>
    </w:rPr>
  </w:style>
  <w:style w:type="character" w:customStyle="1" w:styleId="197">
    <w:name w:val="标题 2 字符"/>
    <w:link w:val="3"/>
    <w:semiHidden/>
    <w:qFormat/>
    <w:locked/>
    <w:uiPriority w:val="0"/>
    <w:rPr>
      <w:rFonts w:ascii="Arial" w:hAnsi="Arial" w:eastAsia="宋体" w:cs="Times New Roman"/>
      <w:b/>
      <w:bCs/>
      <w:sz w:val="24"/>
      <w:szCs w:val="32"/>
    </w:rPr>
  </w:style>
  <w:style w:type="character" w:customStyle="1" w:styleId="198">
    <w:name w:val="纯文本 Char2"/>
    <w:qFormat/>
    <w:uiPriority w:val="0"/>
    <w:rPr>
      <w:rFonts w:hint="eastAsia" w:ascii="宋体" w:hAnsi="Courier New" w:eastAsia="宋体"/>
      <w:kern w:val="2"/>
      <w:sz w:val="21"/>
      <w:szCs w:val="21"/>
      <w:lang w:val="en-US" w:eastAsia="zh-CN" w:bidi="ar-SA"/>
    </w:rPr>
  </w:style>
  <w:style w:type="character" w:customStyle="1" w:styleId="199">
    <w:name w:val="sidecatalog-index2"/>
    <w:qFormat/>
    <w:uiPriority w:val="0"/>
    <w:rPr>
      <w:rFonts w:hint="default" w:ascii="Arail" w:hAnsi="Arail" w:eastAsia="Arail" w:cs="Arail"/>
      <w:color w:val="999999"/>
      <w:sz w:val="21"/>
      <w:szCs w:val="21"/>
    </w:rPr>
  </w:style>
  <w:style w:type="character" w:customStyle="1" w:styleId="200">
    <w:name w:val="gjfg"/>
    <w:basedOn w:val="46"/>
    <w:qFormat/>
    <w:uiPriority w:val="0"/>
  </w:style>
  <w:style w:type="character" w:customStyle="1" w:styleId="201">
    <w:name w:val="redfilenumber"/>
    <w:qFormat/>
    <w:uiPriority w:val="0"/>
    <w:rPr>
      <w:color w:val="BA2636"/>
      <w:sz w:val="18"/>
      <w:szCs w:val="18"/>
    </w:rPr>
  </w:style>
  <w:style w:type="character" w:customStyle="1" w:styleId="202">
    <w:name w:val="批注文字 Char1"/>
    <w:qFormat/>
    <w:uiPriority w:val="0"/>
    <w:rPr>
      <w:rFonts w:hint="eastAsia" w:ascii="宋体" w:hAnsi="宋体" w:eastAsia="宋体"/>
      <w:kern w:val="2"/>
      <w:sz w:val="21"/>
      <w:szCs w:val="24"/>
      <w:lang w:val="en-US" w:eastAsia="zh-CN" w:bidi="ar-SA"/>
    </w:rPr>
  </w:style>
  <w:style w:type="character" w:customStyle="1" w:styleId="203">
    <w:name w:val="Font Style117"/>
    <w:qFormat/>
    <w:uiPriority w:val="0"/>
    <w:rPr>
      <w:rFonts w:hint="eastAsia" w:ascii="宋体" w:hAnsi="宋体" w:eastAsia="宋体"/>
      <w:spacing w:val="20"/>
      <w:sz w:val="24"/>
    </w:rPr>
  </w:style>
  <w:style w:type="character" w:customStyle="1" w:styleId="204">
    <w:name w:val="displayarti"/>
    <w:qFormat/>
    <w:uiPriority w:val="0"/>
    <w:rPr>
      <w:color w:val="FFFFFF"/>
      <w:shd w:val="clear" w:color="auto" w:fill="A00000"/>
    </w:rPr>
  </w:style>
  <w:style w:type="character" w:customStyle="1" w:styleId="205">
    <w:name w:val="bds_nopic1"/>
    <w:qFormat/>
    <w:uiPriority w:val="0"/>
    <w:rPr>
      <w:rFonts w:hint="default" w:ascii="Times New Roman" w:hAnsi="Times New Roman" w:eastAsia="宋体" w:cs="Times New Roman"/>
    </w:rPr>
  </w:style>
  <w:style w:type="character" w:customStyle="1" w:styleId="206">
    <w:name w:val="批注框文本 Char1"/>
    <w:qFormat/>
    <w:locked/>
    <w:uiPriority w:val="0"/>
    <w:rPr>
      <w:rFonts w:hint="default" w:ascii="Calibri" w:hAnsi="Calibri"/>
      <w:kern w:val="2"/>
      <w:sz w:val="18"/>
      <w:szCs w:val="18"/>
    </w:rPr>
  </w:style>
  <w:style w:type="character" w:customStyle="1" w:styleId="207">
    <w:name w:val="标题 4 Char Char"/>
    <w:qFormat/>
    <w:uiPriority w:val="0"/>
    <w:rPr>
      <w:rFonts w:hint="default" w:ascii="Arial" w:hAnsi="Arial" w:eastAsia="宋体" w:cs="Arial"/>
      <w:b/>
      <w:bCs/>
      <w:kern w:val="2"/>
      <w:sz w:val="21"/>
      <w:szCs w:val="28"/>
      <w:lang w:val="en-US" w:eastAsia="zh-CN" w:bidi="ar-SA"/>
    </w:rPr>
  </w:style>
  <w:style w:type="character" w:customStyle="1" w:styleId="208">
    <w:name w:val="Font Style131"/>
    <w:qFormat/>
    <w:uiPriority w:val="0"/>
    <w:rPr>
      <w:rFonts w:hint="default" w:ascii="Times New Roman" w:hAnsi="Times New Roman" w:eastAsia="Times New Roman" w:cs="Times New Roman"/>
      <w:sz w:val="18"/>
    </w:rPr>
  </w:style>
  <w:style w:type="character" w:customStyle="1" w:styleId="209">
    <w:name w:val="样式2 Char Char"/>
    <w:qFormat/>
    <w:uiPriority w:val="0"/>
    <w:rPr>
      <w:rFonts w:hint="eastAsia" w:ascii="宋体" w:hAnsi="宋体" w:eastAsia="宋体"/>
      <w:kern w:val="2"/>
      <w:sz w:val="18"/>
      <w:szCs w:val="18"/>
      <w:lang w:val="en-US" w:eastAsia="zh-CN" w:bidi="ar-SA"/>
    </w:rPr>
  </w:style>
  <w:style w:type="character" w:customStyle="1" w:styleId="210">
    <w:name w:val="Font Style116"/>
    <w:qFormat/>
    <w:uiPriority w:val="0"/>
    <w:rPr>
      <w:rFonts w:hint="eastAsia" w:ascii="宋体" w:hAnsi="宋体" w:eastAsia="宋体"/>
      <w:spacing w:val="-20"/>
      <w:sz w:val="24"/>
    </w:rPr>
  </w:style>
  <w:style w:type="character" w:customStyle="1" w:styleId="211">
    <w:name w:val="title2"/>
    <w:qFormat/>
    <w:uiPriority w:val="0"/>
    <w:rPr>
      <w:b/>
      <w:color w:val="000000"/>
    </w:rPr>
  </w:style>
  <w:style w:type="character" w:customStyle="1" w:styleId="212">
    <w:name w:val="bds_more6"/>
    <w:qFormat/>
    <w:uiPriority w:val="0"/>
    <w:rPr>
      <w:rFonts w:hint="eastAsia" w:ascii="宋体" w:hAnsi="宋体" w:eastAsia="宋体" w:cs="宋体"/>
    </w:rPr>
  </w:style>
  <w:style w:type="character" w:customStyle="1" w:styleId="213">
    <w:name w:val="Char Char17"/>
    <w:qFormat/>
    <w:uiPriority w:val="0"/>
    <w:rPr>
      <w:rFonts w:hint="eastAsia" w:ascii="宋体" w:hAnsi="Times New Roman" w:eastAsia="宋体"/>
      <w:b/>
      <w:sz w:val="28"/>
      <w:lang w:val="en-US" w:eastAsia="zh-CN" w:bidi="ar-SA"/>
    </w:rPr>
  </w:style>
  <w:style w:type="character" w:customStyle="1" w:styleId="214">
    <w:name w:val="content_3"/>
    <w:qFormat/>
    <w:uiPriority w:val="0"/>
    <w:rPr>
      <w:sz w:val="19"/>
      <w:szCs w:val="19"/>
    </w:rPr>
  </w:style>
  <w:style w:type="character" w:customStyle="1" w:styleId="215">
    <w:name w:val="p0 Char Char"/>
    <w:qFormat/>
    <w:uiPriority w:val="0"/>
    <w:rPr>
      <w:rFonts w:hint="eastAsia" w:ascii="宋体" w:hAnsi="宋体" w:eastAsia="宋体"/>
      <w:kern w:val="2"/>
      <w:sz w:val="21"/>
      <w:szCs w:val="21"/>
      <w:lang w:val="en-US" w:eastAsia="zh-CN" w:bidi="ar-SA"/>
    </w:rPr>
  </w:style>
  <w:style w:type="character" w:customStyle="1" w:styleId="216">
    <w:name w:val="title_1"/>
    <w:qFormat/>
    <w:uiPriority w:val="0"/>
    <w:rPr>
      <w:b/>
      <w:sz w:val="30"/>
      <w:szCs w:val="30"/>
    </w:rPr>
  </w:style>
  <w:style w:type="character" w:customStyle="1" w:styleId="217">
    <w:name w:val="标题 7 字符"/>
    <w:link w:val="8"/>
    <w:semiHidden/>
    <w:qFormat/>
    <w:locked/>
    <w:uiPriority w:val="0"/>
    <w:rPr>
      <w:rFonts w:ascii="Times New Roman" w:hAnsi="Times New Roman" w:eastAsia="宋体" w:cs="Times New Roman"/>
      <w:b/>
      <w:bCs/>
      <w:kern w:val="0"/>
      <w:sz w:val="24"/>
      <w:szCs w:val="24"/>
    </w:rPr>
  </w:style>
  <w:style w:type="character" w:customStyle="1" w:styleId="218">
    <w:name w:val="Char Char14"/>
    <w:qFormat/>
    <w:uiPriority w:val="0"/>
    <w:rPr>
      <w:rFonts w:hint="default" w:ascii="Arial" w:hAnsi="Arial" w:eastAsia="黑体" w:cs="Arial"/>
      <w:b/>
      <w:bCs/>
      <w:sz w:val="28"/>
      <w:szCs w:val="28"/>
      <w:lang w:val="en-US" w:eastAsia="zh-CN" w:bidi="ar-SA"/>
    </w:rPr>
  </w:style>
  <w:style w:type="character" w:customStyle="1" w:styleId="219">
    <w:name w:val="Font Style122"/>
    <w:qFormat/>
    <w:uiPriority w:val="0"/>
    <w:rPr>
      <w:rFonts w:hint="eastAsia" w:ascii="宋体" w:hAnsi="宋体" w:eastAsia="宋体"/>
      <w:spacing w:val="20"/>
      <w:sz w:val="24"/>
    </w:rPr>
  </w:style>
  <w:style w:type="character" w:customStyle="1" w:styleId="220">
    <w:name w:val="日期 Char1"/>
    <w:qFormat/>
    <w:locked/>
    <w:uiPriority w:val="0"/>
    <w:rPr>
      <w:kern w:val="2"/>
      <w:sz w:val="24"/>
    </w:rPr>
  </w:style>
  <w:style w:type="character" w:customStyle="1" w:styleId="221">
    <w:name w:val="Char Char15"/>
    <w:qFormat/>
    <w:uiPriority w:val="0"/>
    <w:rPr>
      <w:b/>
      <w:bCs/>
      <w:sz w:val="24"/>
      <w:szCs w:val="24"/>
    </w:rPr>
  </w:style>
  <w:style w:type="character" w:customStyle="1" w:styleId="222">
    <w:name w:val="Font Style125"/>
    <w:qFormat/>
    <w:uiPriority w:val="0"/>
    <w:rPr>
      <w:rFonts w:hint="eastAsia" w:ascii="宋体" w:hAnsi="宋体" w:eastAsia="宋体"/>
      <w:b/>
      <w:sz w:val="26"/>
    </w:rPr>
  </w:style>
  <w:style w:type="character" w:customStyle="1" w:styleId="223">
    <w:name w:val="Char Char16"/>
    <w:qFormat/>
    <w:uiPriority w:val="0"/>
    <w:rPr>
      <w:rFonts w:hint="eastAsia" w:ascii="宋体" w:hAnsi="Times New Roman" w:eastAsia="宋体"/>
      <w:b/>
      <w:sz w:val="24"/>
      <w:lang w:val="en-US" w:eastAsia="zh-CN" w:bidi="ar-SA"/>
    </w:rPr>
  </w:style>
  <w:style w:type="character" w:customStyle="1" w:styleId="224">
    <w:name w:val="bds_nopic2"/>
    <w:qFormat/>
    <w:uiPriority w:val="0"/>
    <w:rPr>
      <w:rFonts w:hint="default" w:ascii="Times New Roman" w:hAnsi="Times New Roman" w:eastAsia="宋体" w:cs="Times New Roman"/>
    </w:rPr>
  </w:style>
  <w:style w:type="character" w:customStyle="1" w:styleId="225">
    <w:name w:val="title_3"/>
    <w:qFormat/>
    <w:uiPriority w:val="0"/>
    <w:rPr>
      <w:b/>
      <w:sz w:val="15"/>
      <w:szCs w:val="15"/>
    </w:rPr>
  </w:style>
  <w:style w:type="character" w:customStyle="1" w:styleId="226">
    <w:name w:val="content_table1"/>
    <w:qFormat/>
    <w:uiPriority w:val="0"/>
    <w:rPr>
      <w:sz w:val="19"/>
      <w:szCs w:val="19"/>
    </w:rPr>
  </w:style>
  <w:style w:type="character" w:customStyle="1" w:styleId="227">
    <w:name w:val="edui-clickable"/>
    <w:qFormat/>
    <w:uiPriority w:val="0"/>
    <w:rPr>
      <w:color w:val="0000FF"/>
      <w:u w:val="single"/>
    </w:rPr>
  </w:style>
  <w:style w:type="character" w:customStyle="1" w:styleId="228">
    <w:name w:val="title22"/>
    <w:qFormat/>
    <w:uiPriority w:val="0"/>
    <w:rPr>
      <w:b/>
      <w:color w:val="000000"/>
    </w:rPr>
  </w:style>
  <w:style w:type="character" w:customStyle="1" w:styleId="229">
    <w:name w:val="sort"/>
    <w:qFormat/>
    <w:uiPriority w:val="0"/>
    <w:rPr>
      <w:rFonts w:hint="default" w:ascii="Times New Roman" w:hAnsi="Times New Roman" w:eastAsia="宋体" w:cs="Times New Roman"/>
      <w:color w:val="FFFFFF"/>
      <w:bdr w:val="single" w:color="auto" w:sz="24" w:space="0"/>
    </w:rPr>
  </w:style>
  <w:style w:type="character" w:customStyle="1" w:styleId="230">
    <w:name w:val="Font Style126"/>
    <w:qFormat/>
    <w:uiPriority w:val="0"/>
    <w:rPr>
      <w:rFonts w:hint="eastAsia" w:ascii="宋体" w:hAnsi="宋体" w:eastAsia="宋体"/>
      <w:b/>
      <w:spacing w:val="-30"/>
      <w:sz w:val="28"/>
    </w:rPr>
  </w:style>
  <w:style w:type="character" w:customStyle="1" w:styleId="231">
    <w:name w:val="sidecatalog-dot"/>
    <w:qFormat/>
    <w:uiPriority w:val="0"/>
    <w:rPr>
      <w:rFonts w:hint="default" w:ascii="Times New Roman" w:hAnsi="Times New Roman" w:eastAsia="宋体" w:cs="Times New Roman"/>
    </w:rPr>
  </w:style>
  <w:style w:type="character" w:customStyle="1" w:styleId="232">
    <w:name w:val="Font Style119"/>
    <w:qFormat/>
    <w:uiPriority w:val="0"/>
    <w:rPr>
      <w:rFonts w:hint="eastAsia" w:ascii="宋体" w:hAnsi="宋体" w:eastAsia="宋体"/>
      <w:sz w:val="24"/>
    </w:rPr>
  </w:style>
  <w:style w:type="character" w:customStyle="1" w:styleId="233">
    <w:name w:val="plus"/>
    <w:qFormat/>
    <w:uiPriority w:val="0"/>
    <w:rPr>
      <w:rFonts w:hint="default" w:ascii="Times New Roman" w:hAnsi="Times New Roman" w:eastAsia="宋体" w:cs="Times New Roman"/>
      <w:b/>
      <w:vanish/>
      <w:color w:val="1F8DEF"/>
      <w:sz w:val="24"/>
      <w:szCs w:val="24"/>
    </w:rPr>
  </w:style>
  <w:style w:type="character" w:customStyle="1" w:styleId="234">
    <w:name w:val="bds_more10"/>
    <w:qFormat/>
    <w:uiPriority w:val="0"/>
    <w:rPr>
      <w:rFonts w:hint="default" w:ascii="Times New Roman" w:hAnsi="Times New Roman" w:eastAsia="宋体" w:cs="Times New Roman"/>
    </w:rPr>
  </w:style>
  <w:style w:type="character" w:customStyle="1" w:styleId="235">
    <w:name w:val="Font Style94"/>
    <w:qFormat/>
    <w:uiPriority w:val="0"/>
    <w:rPr>
      <w:rFonts w:hint="default" w:ascii="Times New Roman" w:hAnsi="Times New Roman" w:eastAsia="Times New Roman" w:cs="Times New Roman"/>
      <w:sz w:val="28"/>
    </w:rPr>
  </w:style>
  <w:style w:type="character" w:customStyle="1" w:styleId="236">
    <w:name w:val="polysemyred"/>
    <w:qFormat/>
    <w:uiPriority w:val="0"/>
    <w:rPr>
      <w:rFonts w:hint="default" w:ascii="Times New Roman" w:hAnsi="Times New Roman" w:eastAsia="宋体" w:cs="Times New Roman"/>
      <w:color w:val="FF6666"/>
      <w:sz w:val="18"/>
      <w:szCs w:val="18"/>
    </w:rPr>
  </w:style>
  <w:style w:type="character" w:customStyle="1" w:styleId="237">
    <w:name w:val="Font Style128"/>
    <w:qFormat/>
    <w:uiPriority w:val="0"/>
    <w:rPr>
      <w:rFonts w:hint="default" w:ascii="Times New Roman" w:hAnsi="Times New Roman" w:eastAsia="Times New Roman" w:cs="Times New Roman"/>
      <w:sz w:val="16"/>
    </w:rPr>
  </w:style>
  <w:style w:type="character" w:customStyle="1" w:styleId="238">
    <w:name w:val="标题 6 字符"/>
    <w:link w:val="7"/>
    <w:semiHidden/>
    <w:qFormat/>
    <w:locked/>
    <w:uiPriority w:val="0"/>
    <w:rPr>
      <w:rFonts w:ascii="Arial" w:hAnsi="Arial" w:eastAsia="黑体" w:cs="Times New Roman"/>
      <w:b/>
      <w:bCs/>
      <w:kern w:val="0"/>
      <w:sz w:val="24"/>
      <w:szCs w:val="24"/>
    </w:rPr>
  </w:style>
  <w:style w:type="character" w:customStyle="1" w:styleId="239">
    <w:name w:val="content"/>
    <w:qFormat/>
    <w:uiPriority w:val="0"/>
    <w:rPr>
      <w:sz w:val="19"/>
      <w:szCs w:val="19"/>
    </w:rPr>
  </w:style>
  <w:style w:type="character" w:customStyle="1" w:styleId="240">
    <w:name w:val="bds_more8"/>
    <w:qFormat/>
    <w:uiPriority w:val="0"/>
    <w:rPr>
      <w:rFonts w:hint="default" w:ascii="Times New Roman" w:hAnsi="Times New Roman" w:eastAsia="宋体" w:cs="Times New Roman"/>
    </w:rPr>
  </w:style>
  <w:style w:type="character" w:customStyle="1" w:styleId="241">
    <w:name w:val="cfdate"/>
    <w:qFormat/>
    <w:uiPriority w:val="0"/>
    <w:rPr>
      <w:color w:val="333333"/>
      <w:sz w:val="18"/>
      <w:szCs w:val="18"/>
    </w:rPr>
  </w:style>
  <w:style w:type="character" w:customStyle="1" w:styleId="242">
    <w:name w:val="Font Style127"/>
    <w:qFormat/>
    <w:uiPriority w:val="0"/>
    <w:rPr>
      <w:rFonts w:hint="default" w:ascii="Times New Roman" w:hAnsi="Times New Roman" w:eastAsia="Times New Roman" w:cs="Times New Roman"/>
      <w:sz w:val="20"/>
    </w:rPr>
  </w:style>
  <w:style w:type="character" w:customStyle="1" w:styleId="243">
    <w:name w:val="bds_more9"/>
    <w:qFormat/>
    <w:uiPriority w:val="0"/>
    <w:rPr>
      <w:rFonts w:hint="default" w:ascii="Times New Roman" w:hAnsi="Times New Roman" w:eastAsia="宋体" w:cs="Times New Roman"/>
    </w:rPr>
  </w:style>
  <w:style w:type="character" w:customStyle="1" w:styleId="244">
    <w:name w:val="qxdate"/>
    <w:qFormat/>
    <w:uiPriority w:val="0"/>
    <w:rPr>
      <w:color w:val="333333"/>
      <w:sz w:val="18"/>
      <w:szCs w:val="18"/>
    </w:rPr>
  </w:style>
  <w:style w:type="character" w:customStyle="1" w:styleId="245">
    <w:name w:val="redfilefwwh"/>
    <w:qFormat/>
    <w:uiPriority w:val="0"/>
    <w:rPr>
      <w:color w:val="BA2636"/>
      <w:sz w:val="18"/>
      <w:szCs w:val="18"/>
    </w:rPr>
  </w:style>
  <w:style w:type="character" w:customStyle="1" w:styleId="246">
    <w:name w:val="Font Style90"/>
    <w:qFormat/>
    <w:uiPriority w:val="0"/>
    <w:rPr>
      <w:rFonts w:hint="eastAsia" w:ascii="宋体" w:hAnsi="宋体" w:eastAsia="宋体"/>
      <w:b/>
      <w:spacing w:val="-20"/>
      <w:sz w:val="40"/>
    </w:rPr>
  </w:style>
  <w:style w:type="character" w:customStyle="1" w:styleId="247">
    <w:name w:val="批注文字 Char Char"/>
    <w:qFormat/>
    <w:uiPriority w:val="0"/>
    <w:rPr>
      <w:kern w:val="2"/>
      <w:sz w:val="21"/>
      <w:szCs w:val="24"/>
      <w:lang w:bidi="ar-SA"/>
    </w:rPr>
  </w:style>
  <w:style w:type="character" w:customStyle="1" w:styleId="248">
    <w:name w:val="sidecatalog-index1"/>
    <w:qFormat/>
    <w:uiPriority w:val="0"/>
    <w:rPr>
      <w:rFonts w:hint="default" w:ascii="Arial" w:hAnsi="Arial" w:eastAsia="宋体" w:cs="Arial"/>
      <w:b/>
      <w:color w:val="999999"/>
      <w:sz w:val="21"/>
      <w:szCs w:val="21"/>
    </w:rPr>
  </w:style>
  <w:style w:type="character" w:customStyle="1" w:styleId="249">
    <w:name w:val="Font Style104"/>
    <w:qFormat/>
    <w:uiPriority w:val="0"/>
    <w:rPr>
      <w:rFonts w:hint="eastAsia" w:ascii="宋体" w:hAnsi="宋体" w:eastAsia="宋体"/>
      <w:spacing w:val="30"/>
      <w:sz w:val="18"/>
    </w:rPr>
  </w:style>
  <w:style w:type="character" w:customStyle="1" w:styleId="250">
    <w:name w:val="标题 4 字符"/>
    <w:link w:val="5"/>
    <w:semiHidden/>
    <w:qFormat/>
    <w:locked/>
    <w:uiPriority w:val="0"/>
    <w:rPr>
      <w:rFonts w:ascii="Arial" w:hAnsi="Arial" w:eastAsia="黑体" w:cs="Times New Roman"/>
      <w:b/>
      <w:bCs/>
      <w:sz w:val="28"/>
      <w:szCs w:val="28"/>
    </w:rPr>
  </w:style>
  <w:style w:type="character" w:customStyle="1" w:styleId="251">
    <w:name w:val="标题 1 字符"/>
    <w:link w:val="2"/>
    <w:qFormat/>
    <w:locked/>
    <w:uiPriority w:val="0"/>
    <w:rPr>
      <w:rFonts w:ascii="Times New Roman" w:hAnsi="Times New Roman" w:eastAsia="宋体" w:cs="Times New Roman"/>
      <w:b/>
      <w:bCs/>
      <w:sz w:val="24"/>
      <w:szCs w:val="20"/>
    </w:rPr>
  </w:style>
  <w:style w:type="character" w:customStyle="1" w:styleId="252">
    <w:name w:val="标题 8 字符"/>
    <w:link w:val="9"/>
    <w:semiHidden/>
    <w:qFormat/>
    <w:locked/>
    <w:uiPriority w:val="0"/>
    <w:rPr>
      <w:rFonts w:ascii="Arial" w:hAnsi="Arial" w:eastAsia="黑体" w:cs="Times New Roman"/>
      <w:kern w:val="0"/>
      <w:sz w:val="24"/>
      <w:szCs w:val="24"/>
    </w:rPr>
  </w:style>
  <w:style w:type="character" w:customStyle="1" w:styleId="253">
    <w:name w:val="content_2"/>
    <w:qFormat/>
    <w:uiPriority w:val="0"/>
    <w:rPr>
      <w:sz w:val="19"/>
      <w:szCs w:val="19"/>
    </w:rPr>
  </w:style>
  <w:style w:type="character" w:customStyle="1" w:styleId="254">
    <w:name w:val="标题 5 字符"/>
    <w:link w:val="6"/>
    <w:semiHidden/>
    <w:qFormat/>
    <w:locked/>
    <w:uiPriority w:val="0"/>
    <w:rPr>
      <w:rFonts w:ascii="Times New Roman" w:hAnsi="Times New Roman" w:eastAsia="宋体" w:cs="Times New Roman"/>
      <w:b/>
      <w:bCs/>
      <w:kern w:val="0"/>
      <w:sz w:val="28"/>
      <w:szCs w:val="28"/>
    </w:rPr>
  </w:style>
  <w:style w:type="character" w:customStyle="1" w:styleId="255">
    <w:name w:val="Char Char6"/>
    <w:qFormat/>
    <w:uiPriority w:val="0"/>
    <w:rPr>
      <w:rFonts w:hint="default" w:ascii="Arial" w:hAnsi="Arial" w:eastAsia="黑体" w:cs="Arial"/>
      <w:sz w:val="24"/>
      <w:szCs w:val="24"/>
      <w:lang w:val="en-US" w:eastAsia="zh-CN" w:bidi="ar-SA"/>
    </w:rPr>
  </w:style>
  <w:style w:type="character" w:customStyle="1" w:styleId="256">
    <w:name w:val="Font Style115"/>
    <w:qFormat/>
    <w:uiPriority w:val="0"/>
    <w:rPr>
      <w:rFonts w:hint="default" w:ascii="Times New Roman" w:hAnsi="Times New Roman" w:eastAsia="Times New Roman" w:cs="Times New Roman"/>
      <w:sz w:val="16"/>
    </w:rPr>
  </w:style>
  <w:style w:type="character" w:customStyle="1" w:styleId="257">
    <w:name w:val="edui-unclickable"/>
    <w:qFormat/>
    <w:uiPriority w:val="0"/>
    <w:rPr>
      <w:color w:val="808080"/>
    </w:rPr>
  </w:style>
  <w:style w:type="character" w:customStyle="1" w:styleId="258">
    <w:name w:val="Font Style86"/>
    <w:qFormat/>
    <w:uiPriority w:val="0"/>
    <w:rPr>
      <w:rFonts w:hint="eastAsia" w:ascii="黑体" w:hAnsi="黑体" w:eastAsia="黑体"/>
      <w:spacing w:val="10"/>
      <w:sz w:val="30"/>
    </w:rPr>
  </w:style>
  <w:style w:type="character" w:customStyle="1" w:styleId="259">
    <w:name w:val="bds_more7"/>
    <w:qFormat/>
    <w:uiPriority w:val="0"/>
    <w:rPr>
      <w:rFonts w:hint="default" w:ascii="Times New Roman" w:hAnsi="Times New Roman" w:eastAsia="宋体" w:cs="Times New Roman"/>
    </w:rPr>
  </w:style>
  <w:style w:type="character" w:customStyle="1" w:styleId="260">
    <w:name w:val="bds_nopic"/>
    <w:qFormat/>
    <w:uiPriority w:val="0"/>
    <w:rPr>
      <w:rFonts w:hint="default" w:ascii="Times New Roman" w:hAnsi="Times New Roman" w:eastAsia="宋体" w:cs="Times New Roman"/>
    </w:rPr>
  </w:style>
  <w:style w:type="character" w:customStyle="1" w:styleId="261">
    <w:name w:val="标题 9 字符"/>
    <w:link w:val="10"/>
    <w:semiHidden/>
    <w:qFormat/>
    <w:locked/>
    <w:uiPriority w:val="0"/>
    <w:rPr>
      <w:rFonts w:ascii="Arial" w:hAnsi="Arial" w:eastAsia="黑体" w:cs="Times New Roman"/>
      <w:kern w:val="0"/>
      <w:szCs w:val="21"/>
    </w:rPr>
  </w:style>
  <w:style w:type="character" w:customStyle="1" w:styleId="262">
    <w:name w:val="title_2"/>
    <w:qFormat/>
    <w:uiPriority w:val="0"/>
    <w:rPr>
      <w:b/>
      <w:sz w:val="19"/>
      <w:szCs w:val="19"/>
    </w:rPr>
  </w:style>
  <w:style w:type="character" w:customStyle="1" w:styleId="263">
    <w:name w:val="polysemyexp"/>
    <w:qFormat/>
    <w:uiPriority w:val="0"/>
    <w:rPr>
      <w:rFonts w:hint="default" w:ascii="Times New Roman" w:hAnsi="Times New Roman" w:eastAsia="宋体" w:cs="Times New Roman"/>
      <w:color w:val="AAAAAA"/>
      <w:sz w:val="18"/>
      <w:szCs w:val="18"/>
    </w:rPr>
  </w:style>
  <w:style w:type="character" w:customStyle="1" w:styleId="264">
    <w:name w:val="Font Style121"/>
    <w:qFormat/>
    <w:uiPriority w:val="0"/>
    <w:rPr>
      <w:rFonts w:hint="eastAsia" w:ascii="宋体" w:hAnsi="宋体" w:eastAsia="宋体"/>
      <w:spacing w:val="-10"/>
      <w:sz w:val="30"/>
    </w:rPr>
  </w:style>
  <w:style w:type="character" w:customStyle="1" w:styleId="265">
    <w:name w:val="批注主题 字符"/>
    <w:link w:val="41"/>
    <w:semiHidden/>
    <w:qFormat/>
    <w:locked/>
    <w:uiPriority w:val="0"/>
    <w:rPr>
      <w:rFonts w:ascii="Times New Roman" w:hAnsi="Times New Roman" w:eastAsia="宋体" w:cs="Times New Roman"/>
      <w:b/>
      <w:bCs/>
      <w:szCs w:val="24"/>
    </w:rPr>
  </w:style>
  <w:style w:type="character" w:customStyle="1" w:styleId="266">
    <w:name w:val="Font Style134"/>
    <w:qFormat/>
    <w:uiPriority w:val="0"/>
    <w:rPr>
      <w:rFonts w:hint="eastAsia" w:ascii="宋体" w:hAnsi="宋体" w:eastAsia="宋体"/>
      <w:spacing w:val="20"/>
      <w:sz w:val="22"/>
    </w:rPr>
  </w:style>
  <w:style w:type="character" w:customStyle="1" w:styleId="267">
    <w:name w:val="lemmatitleh12"/>
    <w:qFormat/>
    <w:uiPriority w:val="0"/>
    <w:rPr>
      <w:rFonts w:hint="default" w:ascii="Times New Roman" w:hAnsi="Times New Roman" w:eastAsia="宋体" w:cs="Times New Roman"/>
    </w:rPr>
  </w:style>
  <w:style w:type="character" w:customStyle="1" w:styleId="268">
    <w:name w:val="Font Style123"/>
    <w:qFormat/>
    <w:uiPriority w:val="0"/>
    <w:rPr>
      <w:rFonts w:hint="eastAsia" w:ascii="宋体" w:hAnsi="宋体" w:eastAsia="宋体"/>
      <w:b/>
      <w:sz w:val="32"/>
    </w:rPr>
  </w:style>
  <w:style w:type="character" w:customStyle="1" w:styleId="269">
    <w:name w:val="页脚 字符"/>
    <w:link w:val="27"/>
    <w:qFormat/>
    <w:locked/>
    <w:uiPriority w:val="0"/>
    <w:rPr>
      <w:rFonts w:ascii="Times New Roman" w:hAnsi="Times New Roman" w:eastAsia="宋体" w:cs="Times New Roman"/>
      <w:sz w:val="18"/>
      <w:szCs w:val="18"/>
    </w:rPr>
  </w:style>
  <w:style w:type="character" w:customStyle="1" w:styleId="270">
    <w:name w:val="edui-clickable2"/>
    <w:qFormat/>
    <w:uiPriority w:val="0"/>
    <w:rPr>
      <w:color w:val="0000FF"/>
      <w:u w:val="single"/>
    </w:rPr>
  </w:style>
  <w:style w:type="character" w:customStyle="1" w:styleId="271">
    <w:name w:val="正文文本缩进 3 字符"/>
    <w:link w:val="33"/>
    <w:semiHidden/>
    <w:qFormat/>
    <w:locked/>
    <w:uiPriority w:val="0"/>
    <w:rPr>
      <w:rFonts w:ascii="Times New Roman" w:hAnsi="Times New Roman" w:eastAsia="宋体" w:cs="Times New Roman"/>
      <w:sz w:val="16"/>
      <w:szCs w:val="16"/>
    </w:rPr>
  </w:style>
  <w:style w:type="character" w:customStyle="1" w:styleId="272">
    <w:name w:val="页眉 字符"/>
    <w:link w:val="29"/>
    <w:qFormat/>
    <w:locked/>
    <w:uiPriority w:val="0"/>
    <w:rPr>
      <w:rFonts w:ascii="Times New Roman" w:hAnsi="Times New Roman" w:eastAsia="宋体" w:cs="Times New Roman"/>
      <w:sz w:val="18"/>
      <w:szCs w:val="18"/>
    </w:rPr>
  </w:style>
  <w:style w:type="character" w:customStyle="1" w:styleId="273">
    <w:name w:val="title21"/>
    <w:qFormat/>
    <w:uiPriority w:val="0"/>
    <w:rPr>
      <w:b/>
      <w:color w:val="000000"/>
    </w:rPr>
  </w:style>
  <w:style w:type="character" w:customStyle="1" w:styleId="274">
    <w:name w:val="morelink-item"/>
    <w:qFormat/>
    <w:uiPriority w:val="0"/>
    <w:rPr>
      <w:rFonts w:hint="default" w:ascii="Times New Roman" w:hAnsi="Times New Roman" w:eastAsia="宋体" w:cs="Times New Roman"/>
    </w:rPr>
  </w:style>
  <w:style w:type="character" w:customStyle="1" w:styleId="275">
    <w:name w:val="批注文字 字符"/>
    <w:basedOn w:val="46"/>
    <w:link w:val="14"/>
    <w:semiHidden/>
    <w:qFormat/>
    <w:locked/>
    <w:uiPriority w:val="0"/>
    <w:rPr>
      <w:rFonts w:ascii="Times New Roman" w:hAnsi="Times New Roman" w:eastAsia="宋体" w:cs="Times New Roman"/>
      <w:szCs w:val="24"/>
    </w:rPr>
  </w:style>
  <w:style w:type="character" w:customStyle="1" w:styleId="276">
    <w:name w:val="批注主题 Char2"/>
    <w:basedOn w:val="275"/>
    <w:semiHidden/>
    <w:qFormat/>
    <w:uiPriority w:val="99"/>
    <w:rPr>
      <w:rFonts w:ascii="Times New Roman" w:hAnsi="Times New Roman" w:eastAsia="宋体" w:cs="Times New Roman"/>
      <w:b/>
      <w:bCs/>
      <w:szCs w:val="24"/>
    </w:rPr>
  </w:style>
  <w:style w:type="character" w:customStyle="1" w:styleId="277">
    <w:name w:val="批注框文本 Char2"/>
    <w:basedOn w:val="46"/>
    <w:semiHidden/>
    <w:qFormat/>
    <w:uiPriority w:val="99"/>
    <w:rPr>
      <w:kern w:val="2"/>
      <w:sz w:val="18"/>
      <w:szCs w:val="18"/>
    </w:rPr>
  </w:style>
  <w:style w:type="paragraph" w:customStyle="1" w:styleId="278">
    <w:name w:val="z-窗体底端1"/>
    <w:basedOn w:val="1"/>
    <w:next w:val="1"/>
    <w:link w:val="279"/>
    <w:semiHidden/>
    <w:unhideWhenUsed/>
    <w:qFormat/>
    <w:uiPriority w:val="0"/>
    <w:pPr>
      <w:pBdr>
        <w:top w:val="single" w:color="auto" w:sz="6" w:space="1"/>
      </w:pBdr>
      <w:jc w:val="center"/>
    </w:pPr>
    <w:rPr>
      <w:rFonts w:ascii="Arial" w:hAnsi="Arial" w:cs="Arial"/>
      <w:vanish/>
      <w:sz w:val="16"/>
      <w:szCs w:val="16"/>
    </w:rPr>
  </w:style>
  <w:style w:type="character" w:customStyle="1" w:styleId="279">
    <w:name w:val="z-窗体底端 Char"/>
    <w:basedOn w:val="46"/>
    <w:link w:val="278"/>
    <w:semiHidden/>
    <w:qFormat/>
    <w:uiPriority w:val="0"/>
    <w:rPr>
      <w:rFonts w:ascii="Arial" w:hAnsi="Arial" w:eastAsia="宋体" w:cs="Arial"/>
      <w:vanish/>
      <w:sz w:val="16"/>
      <w:szCs w:val="16"/>
    </w:rPr>
  </w:style>
  <w:style w:type="character" w:customStyle="1" w:styleId="280">
    <w:name w:val="标题 字符"/>
    <w:basedOn w:val="46"/>
    <w:link w:val="40"/>
    <w:qFormat/>
    <w:locked/>
    <w:uiPriority w:val="0"/>
    <w:rPr>
      <w:rFonts w:ascii="Cambria" w:hAnsi="Cambria" w:eastAsia="宋体" w:cs="Times New Roman"/>
      <w:b/>
      <w:sz w:val="32"/>
      <w:szCs w:val="24"/>
    </w:rPr>
  </w:style>
  <w:style w:type="character" w:customStyle="1" w:styleId="281">
    <w:name w:val="页脚 Char2"/>
    <w:basedOn w:val="46"/>
    <w:semiHidden/>
    <w:qFormat/>
    <w:uiPriority w:val="99"/>
    <w:rPr>
      <w:kern w:val="2"/>
      <w:sz w:val="18"/>
      <w:szCs w:val="18"/>
    </w:rPr>
  </w:style>
  <w:style w:type="character" w:customStyle="1" w:styleId="282">
    <w:name w:val="纯文本 Char1"/>
    <w:basedOn w:val="46"/>
    <w:semiHidden/>
    <w:qFormat/>
    <w:uiPriority w:val="99"/>
    <w:rPr>
      <w:rFonts w:hint="eastAsia" w:ascii="宋体" w:hAnsi="Courier New" w:eastAsia="宋体" w:cs="Courier New"/>
      <w:kern w:val="2"/>
      <w:sz w:val="21"/>
      <w:szCs w:val="21"/>
    </w:rPr>
  </w:style>
  <w:style w:type="character" w:customStyle="1" w:styleId="283">
    <w:name w:val="正文文本缩进 Char1"/>
    <w:basedOn w:val="46"/>
    <w:semiHidden/>
    <w:qFormat/>
    <w:uiPriority w:val="99"/>
    <w:rPr>
      <w:kern w:val="2"/>
      <w:sz w:val="21"/>
      <w:szCs w:val="24"/>
    </w:rPr>
  </w:style>
  <w:style w:type="paragraph" w:customStyle="1" w:styleId="284">
    <w:name w:val="z-窗体顶端1"/>
    <w:basedOn w:val="1"/>
    <w:next w:val="1"/>
    <w:link w:val="285"/>
    <w:semiHidden/>
    <w:unhideWhenUsed/>
    <w:qFormat/>
    <w:uiPriority w:val="0"/>
    <w:pPr>
      <w:pBdr>
        <w:bottom w:val="single" w:color="auto" w:sz="6" w:space="1"/>
      </w:pBdr>
      <w:jc w:val="center"/>
    </w:pPr>
    <w:rPr>
      <w:rFonts w:ascii="Arial" w:hAnsi="Arial" w:cs="Arial"/>
      <w:vanish/>
      <w:sz w:val="16"/>
      <w:szCs w:val="16"/>
    </w:rPr>
  </w:style>
  <w:style w:type="character" w:customStyle="1" w:styleId="285">
    <w:name w:val="z-窗体顶端 Char"/>
    <w:basedOn w:val="46"/>
    <w:link w:val="284"/>
    <w:semiHidden/>
    <w:qFormat/>
    <w:uiPriority w:val="0"/>
    <w:rPr>
      <w:rFonts w:ascii="Arial" w:hAnsi="Arial" w:eastAsia="宋体" w:cs="Arial"/>
      <w:vanish/>
      <w:sz w:val="16"/>
      <w:szCs w:val="16"/>
    </w:rPr>
  </w:style>
  <w:style w:type="character" w:customStyle="1" w:styleId="286">
    <w:name w:val="正文文本缩进 3 Char2"/>
    <w:basedOn w:val="46"/>
    <w:semiHidden/>
    <w:qFormat/>
    <w:uiPriority w:val="99"/>
    <w:rPr>
      <w:kern w:val="2"/>
      <w:sz w:val="16"/>
      <w:szCs w:val="16"/>
    </w:rPr>
  </w:style>
  <w:style w:type="character" w:customStyle="1" w:styleId="287">
    <w:name w:val="页眉 Char2"/>
    <w:basedOn w:val="46"/>
    <w:semiHidden/>
    <w:qFormat/>
    <w:uiPriority w:val="99"/>
    <w:rPr>
      <w:kern w:val="2"/>
      <w:sz w:val="18"/>
      <w:szCs w:val="18"/>
    </w:rPr>
  </w:style>
  <w:style w:type="character" w:customStyle="1" w:styleId="288">
    <w:name w:val="日期 Char2"/>
    <w:basedOn w:val="46"/>
    <w:semiHidden/>
    <w:qFormat/>
    <w:uiPriority w:val="99"/>
    <w:rPr>
      <w:kern w:val="2"/>
      <w:sz w:val="21"/>
      <w:szCs w:val="24"/>
    </w:rPr>
  </w:style>
  <w:style w:type="paragraph" w:customStyle="1" w:styleId="289">
    <w:name w:val="_Style 39"/>
    <w:basedOn w:val="117"/>
    <w:qFormat/>
    <w:uiPriority w:val="0"/>
  </w:style>
  <w:style w:type="character" w:customStyle="1" w:styleId="290">
    <w:name w:val="党委会正文 Char"/>
    <w:link w:val="291"/>
    <w:qFormat/>
    <w:locked/>
    <w:uiPriority w:val="0"/>
    <w:rPr>
      <w:rFonts w:ascii="华文仿宋" w:hAnsi="华文仿宋" w:eastAsia="华文仿宋"/>
    </w:rPr>
  </w:style>
  <w:style w:type="paragraph" w:customStyle="1" w:styleId="291">
    <w:name w:val="党委会正文"/>
    <w:basedOn w:val="1"/>
    <w:link w:val="290"/>
    <w:qFormat/>
    <w:uiPriority w:val="0"/>
    <w:pPr>
      <w:ind w:firstLine="880" w:firstLineChars="200"/>
    </w:pPr>
    <w:rPr>
      <w:rFonts w:ascii="华文仿宋" w:hAnsi="华文仿宋" w:eastAsia="华文仿宋" w:cstheme="minorBidi"/>
      <w:szCs w:val="22"/>
    </w:rPr>
  </w:style>
  <w:style w:type="paragraph" w:customStyle="1" w:styleId="292">
    <w:name w:val="党委会标题"/>
    <w:basedOn w:val="1"/>
    <w:qFormat/>
    <w:uiPriority w:val="0"/>
    <w:pPr>
      <w:jc w:val="center"/>
    </w:pPr>
    <w:rPr>
      <w:rFonts w:eastAsia="方正小标宋简体"/>
      <w:kern w:val="0"/>
      <w:sz w:val="44"/>
    </w:rPr>
  </w:style>
  <w:style w:type="paragraph" w:customStyle="1" w:styleId="293">
    <w:name w:val="style9"/>
    <w:basedOn w:val="1"/>
    <w:qFormat/>
    <w:uiPriority w:val="0"/>
    <w:pPr>
      <w:widowControl/>
      <w:spacing w:before="100" w:beforeAutospacing="1" w:after="100" w:afterAutospacing="1" w:line="360" w:lineRule="atLeast"/>
      <w:jc w:val="left"/>
    </w:pPr>
    <w:rPr>
      <w:rFonts w:hint="eastAsia" w:ascii="宋体" w:hAnsi="宋体"/>
      <w:color w:val="000000"/>
      <w:spacing w:val="15"/>
      <w:kern w:val="0"/>
      <w:sz w:val="24"/>
    </w:rPr>
  </w:style>
  <w:style w:type="paragraph" w:customStyle="1" w:styleId="294">
    <w:name w:val="Body text|1"/>
    <w:basedOn w:val="1"/>
    <w:qFormat/>
    <w:uiPriority w:val="0"/>
    <w:pPr>
      <w:spacing w:line="334" w:lineRule="auto"/>
      <w:ind w:firstLine="400"/>
    </w:pPr>
    <w:rPr>
      <w:rFonts w:ascii="宋体" w:hAnsi="宋体" w:cs="宋体"/>
      <w:color w:val="808080"/>
      <w:sz w:val="20"/>
      <w:szCs w:val="20"/>
      <w:lang w:val="zh-TW" w:eastAsia="zh-TW" w:bidi="zh-TW"/>
    </w:rPr>
  </w:style>
  <w:style w:type="table" w:customStyle="1" w:styleId="295">
    <w:name w:val="Table Normal"/>
    <w:semiHidden/>
    <w:unhideWhenUsed/>
    <w:qFormat/>
    <w:uiPriority w:val="0"/>
    <w:tblPr>
      <w:tblCellMar>
        <w:top w:w="0" w:type="dxa"/>
        <w:left w:w="0" w:type="dxa"/>
        <w:bottom w:w="0" w:type="dxa"/>
        <w:right w:w="0" w:type="dxa"/>
      </w:tblCellMar>
    </w:tblPr>
  </w:style>
  <w:style w:type="paragraph" w:customStyle="1" w:styleId="296">
    <w:name w:val="Table Text"/>
    <w:basedOn w:val="1"/>
    <w:semiHidden/>
    <w:qFormat/>
    <w:uiPriority w:val="0"/>
    <w:rPr>
      <w:rFonts w:ascii="宋体" w:hAnsi="宋体" w:eastAsia="宋体" w:cs="宋体"/>
      <w:sz w:val="20"/>
      <w:szCs w:val="20"/>
      <w:lang w:val="en-US" w:eastAsia="en-US" w:bidi="ar-SA"/>
    </w:rPr>
  </w:style>
  <w:style w:type="character" w:customStyle="1" w:styleId="297">
    <w:name w:val="font51"/>
    <w:basedOn w:val="46"/>
    <w:qFormat/>
    <w:uiPriority w:val="0"/>
    <w:rPr>
      <w:rFonts w:hint="eastAsia" w:ascii="宋体" w:hAnsi="宋体" w:eastAsia="宋体" w:cs="宋体"/>
      <w:color w:val="333333"/>
      <w:sz w:val="21"/>
      <w:szCs w:val="21"/>
      <w:u w:val="none"/>
    </w:rPr>
  </w:style>
  <w:style w:type="character" w:customStyle="1" w:styleId="298">
    <w:name w:val="font31"/>
    <w:basedOn w:val="46"/>
    <w:qFormat/>
    <w:uiPriority w:val="0"/>
    <w:rPr>
      <w:rFonts w:hint="default" w:ascii="Helvetica" w:hAnsi="Helvetica" w:eastAsia="Helvetica" w:cs="Helvetica"/>
      <w:color w:val="333333"/>
      <w:sz w:val="21"/>
      <w:szCs w:val="21"/>
      <w:u w:val="none"/>
    </w:rPr>
  </w:style>
  <w:style w:type="character" w:customStyle="1" w:styleId="299">
    <w:name w:val="first-child"/>
    <w:basedOn w:val="46"/>
    <w:qFormat/>
    <w:uiPriority w:val="0"/>
  </w:style>
  <w:style w:type="character" w:customStyle="1" w:styleId="300">
    <w:name w:val="layui-layer-tabnow"/>
    <w:basedOn w:val="46"/>
    <w:qFormat/>
    <w:uiPriority w:val="0"/>
    <w:rPr>
      <w:bdr w:val="single" w:color="CCCCCC" w:sz="6" w:space="0"/>
      <w:shd w:val="clear" w:fill="FFFFFF"/>
    </w:rPr>
  </w:style>
  <w:style w:type="character" w:customStyle="1" w:styleId="301">
    <w:name w:val="first-child1"/>
    <w:basedOn w:val="46"/>
    <w:qFormat/>
    <w:uiPriority w:val="0"/>
  </w:style>
  <w:style w:type="paragraph" w:customStyle="1" w:styleId="302">
    <w:name w:val="Fließtext"/>
    <w:basedOn w:val="1"/>
    <w:qFormat/>
    <w:uiPriority w:val="0"/>
    <w:pPr>
      <w:overflowPunct w:val="0"/>
      <w:autoSpaceDE w:val="0"/>
      <w:autoSpaceDN w:val="0"/>
      <w:adjustRightInd w:val="0"/>
      <w:textAlignment w:val="baseline"/>
    </w:pPr>
    <w:rPr>
      <w:kern w:val="28"/>
      <w:szCs w:val="20"/>
    </w:rPr>
  </w:style>
  <w:style w:type="character" w:customStyle="1" w:styleId="303">
    <w:name w:val="font11"/>
    <w:basedOn w:val="46"/>
    <w:qFormat/>
    <w:uiPriority w:val="0"/>
    <w:rPr>
      <w:rFonts w:hint="eastAsia" w:ascii="微软雅黑" w:hAnsi="微软雅黑" w:eastAsia="微软雅黑" w:cs="微软雅黑"/>
      <w:color w:val="000000"/>
      <w:sz w:val="22"/>
      <w:szCs w:val="22"/>
      <w:u w:val="none"/>
    </w:rPr>
  </w:style>
  <w:style w:type="character" w:customStyle="1" w:styleId="304">
    <w:name w:val="font21"/>
    <w:basedOn w:val="46"/>
    <w:qFormat/>
    <w:uiPriority w:val="0"/>
    <w:rPr>
      <w:rFonts w:hint="eastAsia" w:ascii="微软雅黑" w:hAnsi="微软雅黑" w:eastAsia="微软雅黑" w:cs="微软雅黑"/>
      <w:b/>
      <w:bCs/>
      <w:color w:val="000000"/>
      <w:sz w:val="18"/>
      <w:szCs w:val="18"/>
      <w:u w:val="none"/>
    </w:rPr>
  </w:style>
  <w:style w:type="character" w:customStyle="1" w:styleId="305">
    <w:name w:val="font41"/>
    <w:basedOn w:val="46"/>
    <w:qFormat/>
    <w:uiPriority w:val="0"/>
    <w:rPr>
      <w:rFonts w:hint="eastAsia" w:ascii="宋体" w:hAnsi="宋体" w:eastAsia="宋体" w:cs="宋体"/>
      <w:color w:val="000000"/>
      <w:sz w:val="20"/>
      <w:szCs w:val="20"/>
      <w:u w:val="none"/>
    </w:rPr>
  </w:style>
  <w:style w:type="character" w:customStyle="1" w:styleId="306">
    <w:name w:val="font101"/>
    <w:basedOn w:val="46"/>
    <w:qFormat/>
    <w:uiPriority w:val="0"/>
    <w:rPr>
      <w:rFonts w:ascii="宋体" w:hAnsi="宋体" w:eastAsia="宋体" w:cs="宋体"/>
      <w:color w:val="000000"/>
      <w:sz w:val="24"/>
      <w:szCs w:val="24"/>
      <w:u w:val="none"/>
    </w:rPr>
  </w:style>
  <w:style w:type="paragraph" w:customStyle="1" w:styleId="307">
    <w:name w:val="BodyText1I"/>
    <w:basedOn w:val="308"/>
    <w:qFormat/>
    <w:uiPriority w:val="0"/>
    <w:pPr>
      <w:widowControl/>
      <w:snapToGrid w:val="0"/>
      <w:spacing w:after="120"/>
      <w:ind w:firstLine="420" w:firstLineChars="100"/>
      <w:jc w:val="both"/>
    </w:pPr>
    <w:rPr>
      <w:rFonts w:ascii="Calibri" w:hAnsi="Calibri" w:eastAsia="宋体" w:cs="Times New Roman"/>
      <w:kern w:val="2"/>
      <w:sz w:val="21"/>
      <w:szCs w:val="22"/>
      <w:lang w:val="en-US" w:eastAsia="zh-CN" w:bidi="ar-SA"/>
    </w:rPr>
  </w:style>
  <w:style w:type="paragraph" w:customStyle="1" w:styleId="308">
    <w:name w:val="BodyText"/>
    <w:qFormat/>
    <w:uiPriority w:val="0"/>
    <w:pPr>
      <w:widowControl/>
      <w:snapToGrid w:val="0"/>
      <w:spacing w:after="120"/>
      <w:jc w:val="both"/>
    </w:pPr>
    <w:rPr>
      <w:rFonts w:ascii="Calibri" w:hAnsi="Calibri" w:eastAsia="宋体" w:cs="Times New Roman"/>
      <w:kern w:val="2"/>
      <w:sz w:val="21"/>
      <w:szCs w:val="22"/>
      <w:lang w:val="en-US" w:eastAsia="zh-CN" w:bidi="ar-SA"/>
    </w:rPr>
  </w:style>
  <w:style w:type="paragraph" w:customStyle="1" w:styleId="309">
    <w:name w:val="正文缩进1"/>
    <w:next w:val="18"/>
    <w:qFormat/>
    <w:uiPriority w:val="0"/>
    <w:pPr>
      <w:widowControl w:val="0"/>
      <w:autoSpaceDE w:val="0"/>
      <w:autoSpaceDN w:val="0"/>
      <w:adjustRightInd w:val="0"/>
      <w:snapToGrid w:val="0"/>
      <w:spacing w:after="120" w:line="360" w:lineRule="auto"/>
      <w:ind w:left="420" w:leftChars="200" w:firstLine="480" w:firstLineChars="200"/>
      <w:jc w:val="both"/>
    </w:pPr>
    <w:rPr>
      <w:rFonts w:ascii="Calibri" w:hAnsi="Calibri" w:eastAsia="宋体" w:cs="Times New Roman"/>
      <w:kern w:val="2"/>
      <w:sz w:val="24"/>
      <w:szCs w:val="21"/>
      <w:lang w:val="en-US" w:eastAsia="zh-CN" w:bidi="ar-SA"/>
    </w:rPr>
  </w:style>
  <w:style w:type="paragraph" w:customStyle="1" w:styleId="310">
    <w:name w:val="Table Paragraph"/>
    <w:qFormat/>
    <w:uiPriority w:val="1"/>
    <w:pPr>
      <w:widowControl w:val="0"/>
      <w:jc w:val="both"/>
    </w:pPr>
    <w:rPr>
      <w:rFonts w:ascii="宋体" w:hAnsi="宋体" w:eastAsia="宋体" w:cs="宋体"/>
      <w:kern w:val="2"/>
      <w:sz w:val="21"/>
      <w:szCs w:val="22"/>
      <w:lang w:val="zh-CN" w:eastAsia="zh-CN" w:bidi="zh-CN"/>
    </w:rPr>
  </w:style>
  <w:style w:type="character" w:customStyle="1" w:styleId="311">
    <w:name w:val="NormalCharacter"/>
    <w:qFormat/>
    <w:uiPriority w:val="0"/>
  </w:style>
  <w:style w:type="paragraph" w:customStyle="1" w:styleId="312">
    <w:name w:val="标题 7_0"/>
    <w:basedOn w:val="313"/>
    <w:next w:val="313"/>
    <w:unhideWhenUsed/>
    <w:qFormat/>
    <w:uiPriority w:val="9"/>
    <w:pPr>
      <w:keepNext/>
      <w:keepLines/>
      <w:adjustRightInd w:val="0"/>
      <w:spacing w:before="240" w:after="64" w:line="320" w:lineRule="atLeast"/>
      <w:jc w:val="left"/>
      <w:textAlignment w:val="baseline"/>
      <w:outlineLvl w:val="6"/>
    </w:pPr>
    <w:rPr>
      <w:b/>
      <w:bCs/>
      <w:kern w:val="0"/>
      <w:sz w:val="24"/>
    </w:rPr>
  </w:style>
  <w:style w:type="paragraph" w:customStyle="1" w:styleId="313">
    <w:name w:val="正文_37"/>
    <w:next w:val="3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标题 2_37"/>
    <w:basedOn w:val="313"/>
    <w:next w:val="313"/>
    <w:unhideWhenUsed/>
    <w:qFormat/>
    <w:uiPriority w:val="9"/>
    <w:pPr>
      <w:keepNext/>
      <w:keepLines/>
      <w:spacing w:line="360" w:lineRule="auto"/>
      <w:outlineLvl w:val="1"/>
    </w:pPr>
    <w:rPr>
      <w:rFonts w:ascii="Arial" w:hAnsi="Arial"/>
      <w:b/>
      <w:bCs/>
      <w:sz w:val="24"/>
      <w:szCs w:val="32"/>
    </w:rPr>
  </w:style>
  <w:style w:type="paragraph" w:customStyle="1" w:styleId="315">
    <w:name w:val="Normal_1"/>
    <w:qFormat/>
    <w:uiPriority w:val="0"/>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2F0DB-91AC-4E2B-B85E-2D5467CDE019}">
  <ds:schemaRefs/>
</ds:datastoreItem>
</file>

<file path=docProps/app.xml><?xml version="1.0" encoding="utf-8"?>
<Properties xmlns="http://schemas.openxmlformats.org/officeDocument/2006/extended-properties" xmlns:vt="http://schemas.openxmlformats.org/officeDocument/2006/docPropsVTypes">
  <Template>Normal</Template>
  <Pages>49</Pages>
  <Words>4996</Words>
  <Characters>5380</Characters>
  <Lines>1</Lines>
  <Paragraphs>1</Paragraphs>
  <TotalTime>12</TotalTime>
  <ScaleCrop>false</ScaleCrop>
  <LinksUpToDate>false</LinksUpToDate>
  <CharactersWithSpaces>5697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2020-04-09T00:59:00Z</dcterms:created>
  <dc:creator>Windows 用户</dc:creator>
  <cp:lastModifiedBy>Administrator</cp:lastModifiedBy>
  <cp:lastPrinted>2025-11-05T01:44:00Z</cp:lastPrinted>
  <dcterms:modified xsi:type="dcterms:W3CDTF">2025-11-12T07:06:21Z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51850CE44650486CBB3C8B3EB2E9AA82_13</vt:lpwstr>
  </property>
  <property fmtid="{D5CDD505-2E9C-101B-9397-08002B2CF9AE}" pid="4" name="KSOTemplateDocerSaveRecord">
    <vt:lpwstr>eyJoZGlkIjoiYmYwYjQyNzI5YjkyZWM1ZTZjMGZmZTJmYzc2YjhlYzIiLCJ1c2VySWQiOiI0MzI5MDk0NjMifQ==</vt:lpwstr>
  </property>
</Properties>
</file>